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1" w:rightFromText="141" w:vertAnchor="page" w:horzAnchor="margin" w:tblpXSpec="center" w:tblpY="1058"/>
        <w:tblW w:w="10206" w:type="dxa"/>
        <w:tblLook w:val="01E0"/>
      </w:tblPr>
      <w:tblGrid>
        <w:gridCol w:w="1117"/>
        <w:gridCol w:w="9089"/>
      </w:tblGrid>
      <w:tr w:rsidR="00923E72" w:rsidTr="00923E72">
        <w:trPr>
          <w:cantSplit/>
          <w:trHeight w:val="1411"/>
        </w:trPr>
        <w:tc>
          <w:tcPr>
            <w:tcW w:w="1117" w:type="dxa"/>
          </w:tcPr>
          <w:p w:rsidR="00923E72" w:rsidRDefault="00923E72">
            <w:r>
              <w:rPr>
                <w:noProof/>
              </w:rPr>
              <w:drawing>
                <wp:inline distT="0" distB="0" distL="0" distR="0">
                  <wp:extent cx="417600" cy="896400"/>
                  <wp:effectExtent l="0" t="0" r="1905" b="0"/>
                  <wp:docPr id="3" name="Obraz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_Logo2017.jp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7600" cy="896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089" w:type="dxa"/>
            <w:vAlign w:val="center"/>
          </w:tcPr>
          <w:p w:rsidR="00923E72" w:rsidRPr="001F672B" w:rsidRDefault="00923E72" w:rsidP="00923E72">
            <w:pPr>
              <w:pStyle w:val="Nagwek1"/>
              <w:framePr w:hSpace="0" w:wrap="auto" w:vAnchor="margin" w:hAnchor="text" w:xAlign="left" w:yAlign="inline"/>
              <w:tabs>
                <w:tab w:val="clear" w:pos="1260"/>
              </w:tabs>
              <w:jc w:val="center"/>
              <w:rPr>
                <w:rFonts w:ascii="Cambria Math" w:hAnsi="Cambria Math"/>
                <w:color w:val="1F3864" w:themeColor="accent1" w:themeShade="80"/>
              </w:rPr>
            </w:pPr>
            <w:r w:rsidRPr="001F672B">
              <w:rPr>
                <w:rFonts w:ascii="Cambria Math" w:hAnsi="Cambria Math"/>
                <w:color w:val="1F3864" w:themeColor="accent1" w:themeShade="80"/>
              </w:rPr>
              <w:t>WOJEWÓDZKI INSPEKTORAT</w:t>
            </w:r>
            <w:r w:rsidRPr="001F672B">
              <w:rPr>
                <w:rFonts w:ascii="Cambria Math" w:hAnsi="Cambria Math"/>
                <w:b w:val="0"/>
                <w:color w:val="1F3864" w:themeColor="accent1" w:themeShade="80"/>
              </w:rPr>
              <w:t xml:space="preserve"> </w:t>
            </w:r>
            <w:r w:rsidRPr="001F672B">
              <w:rPr>
                <w:rFonts w:ascii="Cambria Math" w:hAnsi="Cambria Math"/>
                <w:color w:val="1F3864" w:themeColor="accent1" w:themeShade="80"/>
              </w:rPr>
              <w:t>OCHRONY ROŚLIN I NASIENNICTWA</w:t>
            </w:r>
          </w:p>
          <w:p w:rsidR="00923E72" w:rsidRDefault="00923E72" w:rsidP="00923E72">
            <w:pPr>
              <w:ind w:left="-113"/>
              <w:jc w:val="center"/>
              <w:rPr>
                <w:rFonts w:ascii="Cambria Math" w:hAnsi="Cambria Math" w:cs="Arial"/>
                <w:b/>
                <w:color w:val="1F3864" w:themeColor="accent1" w:themeShade="80"/>
                <w:sz w:val="30"/>
                <w:szCs w:val="30"/>
              </w:rPr>
            </w:pPr>
            <w:r>
              <w:rPr>
                <w:rFonts w:ascii="Cambria Math" w:hAnsi="Cambria Math" w:cs="Arial"/>
                <w:b/>
                <w:color w:val="1F3864" w:themeColor="accent1" w:themeShade="80"/>
                <w:sz w:val="30"/>
                <w:szCs w:val="30"/>
              </w:rPr>
              <w:t>w</w:t>
            </w:r>
            <w:r w:rsidRPr="001F672B">
              <w:rPr>
                <w:rFonts w:ascii="Cambria Math" w:hAnsi="Cambria Math" w:cs="Arial"/>
                <w:b/>
                <w:color w:val="1F3864" w:themeColor="accent1" w:themeShade="80"/>
                <w:sz w:val="30"/>
                <w:szCs w:val="30"/>
              </w:rPr>
              <w:t xml:space="preserve"> </w:t>
            </w:r>
            <w:r>
              <w:rPr>
                <w:rFonts w:ascii="Cambria Math" w:hAnsi="Cambria Math" w:cs="Arial"/>
                <w:b/>
                <w:color w:val="1F3864" w:themeColor="accent1" w:themeShade="80"/>
                <w:sz w:val="30"/>
                <w:szCs w:val="30"/>
              </w:rPr>
              <w:t>R</w:t>
            </w:r>
            <w:r w:rsidRPr="001F672B">
              <w:rPr>
                <w:rFonts w:ascii="Cambria Math" w:hAnsi="Cambria Math" w:cs="Arial"/>
                <w:b/>
                <w:color w:val="1F3864" w:themeColor="accent1" w:themeShade="80"/>
                <w:sz w:val="30"/>
                <w:szCs w:val="30"/>
              </w:rPr>
              <w:t>zeszowie</w:t>
            </w:r>
          </w:p>
          <w:p w:rsidR="0099730F" w:rsidRPr="001F0A96" w:rsidRDefault="0099730F" w:rsidP="00923E72">
            <w:pPr>
              <w:ind w:left="-113"/>
              <w:jc w:val="center"/>
            </w:pPr>
            <w:r>
              <w:rPr>
                <w:rFonts w:ascii="Cambria Math" w:hAnsi="Cambria Math" w:cs="Arial"/>
                <w:b/>
                <w:color w:val="1F3864" w:themeColor="accent1" w:themeShade="80"/>
                <w:sz w:val="30"/>
                <w:szCs w:val="30"/>
              </w:rPr>
              <w:t xml:space="preserve">ODDZIAŁ w </w:t>
            </w:r>
            <w:r w:rsidR="001B7579">
              <w:rPr>
                <w:rFonts w:ascii="Cambria Math" w:hAnsi="Cambria Math" w:cs="Arial"/>
                <w:b/>
                <w:color w:val="1F3864" w:themeColor="accent1" w:themeShade="80"/>
                <w:sz w:val="30"/>
                <w:szCs w:val="30"/>
              </w:rPr>
              <w:t>RZESZOWIE</w:t>
            </w:r>
          </w:p>
        </w:tc>
      </w:tr>
    </w:tbl>
    <w:p w:rsidR="00DD537B" w:rsidRDefault="00DD537B" w:rsidP="001F0A96">
      <w:pPr>
        <w:jc w:val="both"/>
      </w:pPr>
    </w:p>
    <w:p w:rsidR="00326C63" w:rsidRDefault="00326C63" w:rsidP="00326C63">
      <w:pPr>
        <w:jc w:val="center"/>
        <w:rPr>
          <w:b/>
          <w:sz w:val="32"/>
          <w:szCs w:val="32"/>
        </w:rPr>
      </w:pPr>
      <w:bookmarkStart w:id="0" w:name="_GoBack"/>
      <w:bookmarkEnd w:id="0"/>
      <w:r>
        <w:rPr>
          <w:b/>
          <w:sz w:val="32"/>
          <w:szCs w:val="32"/>
        </w:rPr>
        <w:t>Komunikat z dnia 16 maja 2018 roku</w:t>
      </w:r>
    </w:p>
    <w:p w:rsidR="00326C63" w:rsidRDefault="00326C63" w:rsidP="00326C63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o zwalczaniu mszycy trzmielinowo – burakowej</w:t>
      </w:r>
    </w:p>
    <w:p w:rsidR="00326C63" w:rsidRDefault="00326C63" w:rsidP="00326C63">
      <w:pPr>
        <w:jc w:val="center"/>
        <w:rPr>
          <w:b/>
          <w:sz w:val="32"/>
          <w:szCs w:val="32"/>
        </w:rPr>
      </w:pPr>
    </w:p>
    <w:p w:rsidR="00326C63" w:rsidRDefault="00326C63" w:rsidP="00326C63">
      <w:r>
        <w:t>Plantacjom buraka zagraża mszyca burakowa.</w:t>
      </w:r>
    </w:p>
    <w:p w:rsidR="00326C63" w:rsidRDefault="00326C63" w:rsidP="00326C63">
      <w:pPr>
        <w:jc w:val="both"/>
      </w:pPr>
      <w:r>
        <w:t>Decyzję o sposobie i terminie zwalczania mszycy burakowej na plantacjach buraka cukrowego i pastewnego należy podjąć po przeprowadzeniu obserwacji.</w:t>
      </w:r>
    </w:p>
    <w:p w:rsidR="00326C63" w:rsidRDefault="00326C63" w:rsidP="00326C63">
      <w:pPr>
        <w:jc w:val="both"/>
      </w:pPr>
    </w:p>
    <w:p w:rsidR="00326C63" w:rsidRDefault="00326C63" w:rsidP="00326C63">
      <w:pPr>
        <w:jc w:val="both"/>
      </w:pPr>
      <w:r>
        <w:t>Rozwojowi szkodnika sprzyja sucha i ciepła wiosna.</w:t>
      </w:r>
    </w:p>
    <w:p w:rsidR="00326C63" w:rsidRDefault="00326C63" w:rsidP="00326C63">
      <w:pPr>
        <w:jc w:val="both"/>
      </w:pPr>
    </w:p>
    <w:p w:rsidR="00326C63" w:rsidRDefault="00326C63" w:rsidP="00326C63">
      <w:pPr>
        <w:jc w:val="both"/>
      </w:pPr>
      <w:r>
        <w:t>Zabiegi zwalczające wykonuje się po przekroczeniu progu ekonomicznej szkodliwości lub przed wystąpieniem kolonii mszyc.</w:t>
      </w:r>
    </w:p>
    <w:p w:rsidR="00326C63" w:rsidRDefault="00326C63" w:rsidP="00326C63">
      <w:pPr>
        <w:jc w:val="both"/>
      </w:pPr>
      <w:r>
        <w:t>Progi ekonomicznej szkodliwości dla mszycy burakowej wynoszą:</w:t>
      </w:r>
    </w:p>
    <w:p w:rsidR="00326C63" w:rsidRDefault="00326C63" w:rsidP="00326C63">
      <w:pPr>
        <w:numPr>
          <w:ilvl w:val="0"/>
          <w:numId w:val="1"/>
        </w:numPr>
        <w:jc w:val="both"/>
      </w:pPr>
      <w:r>
        <w:t>15% roślin zasiedlonych przez mszyce</w:t>
      </w:r>
    </w:p>
    <w:p w:rsidR="00326C63" w:rsidRDefault="00326C63" w:rsidP="00326C63">
      <w:pPr>
        <w:numPr>
          <w:ilvl w:val="0"/>
          <w:numId w:val="1"/>
        </w:numPr>
        <w:jc w:val="both"/>
      </w:pPr>
      <w:r>
        <w:t>150 mszyc na 10 roślinach</w:t>
      </w:r>
    </w:p>
    <w:p w:rsidR="00326C63" w:rsidRDefault="00326C63" w:rsidP="00326C63">
      <w:pPr>
        <w:jc w:val="both"/>
      </w:pPr>
      <w:r>
        <w:t>Zabiegi powtarza się, jeśli warunki pogodowe sprzyjają rozmnażaniu mszyc.</w:t>
      </w:r>
    </w:p>
    <w:p w:rsidR="00326C63" w:rsidRDefault="00326C63" w:rsidP="00326C63">
      <w:pPr>
        <w:jc w:val="both"/>
        <w:rPr>
          <w:b/>
        </w:rPr>
      </w:pPr>
    </w:p>
    <w:p w:rsidR="00326C63" w:rsidRDefault="00326C63" w:rsidP="00326C63">
      <w:pPr>
        <w:jc w:val="both"/>
        <w:rPr>
          <w:b/>
        </w:rPr>
      </w:pPr>
    </w:p>
    <w:p w:rsidR="00326C63" w:rsidRDefault="00326C63" w:rsidP="00326C63">
      <w:pPr>
        <w:jc w:val="both"/>
        <w:rPr>
          <w:b/>
          <w:sz w:val="22"/>
          <w:szCs w:val="22"/>
        </w:rPr>
      </w:pPr>
      <w:r>
        <w:rPr>
          <w:b/>
        </w:rPr>
        <w:t>Dostęp do informacji o środkach ochrony roślin dopuszczonych przez Ministra Rolnictwa i Rozwoju Wsi:</w:t>
      </w:r>
    </w:p>
    <w:p w:rsidR="00326C63" w:rsidRDefault="00326C63" w:rsidP="00326C63"/>
    <w:p w:rsidR="00326C63" w:rsidRDefault="00326C63" w:rsidP="00326C63">
      <w:pPr>
        <w:pStyle w:val="Akapitzlist"/>
        <w:widowControl w:val="0"/>
        <w:numPr>
          <w:ilvl w:val="0"/>
          <w:numId w:val="2"/>
        </w:numPr>
        <w:tabs>
          <w:tab w:val="left" w:pos="1440"/>
        </w:tabs>
        <w:suppressAutoHyphens/>
        <w:snapToGrid w:val="0"/>
        <w:jc w:val="both"/>
      </w:pPr>
      <w:r>
        <w:t xml:space="preserve">Wyszukiwarka dająca możliwość łatwego uzyskania informacji o zalecanych środkach ochrony roślin w danych uprawach, na danego </w:t>
      </w:r>
      <w:proofErr w:type="spellStart"/>
      <w:r>
        <w:t>agrofaga</w:t>
      </w:r>
      <w:proofErr w:type="spellEnd"/>
      <w:r>
        <w:t xml:space="preserve"> - (</w:t>
      </w:r>
      <w:hyperlink r:id="rId8" w:history="1">
        <w:r>
          <w:rPr>
            <w:rStyle w:val="Hipercze"/>
          </w:rPr>
          <w:t>http://www.minrol.gov.pl/pol/Informacje-branzowe/Wyszukiwarka-srodkow-ochrony-roslin</w:t>
        </w:r>
      </w:hyperlink>
      <w:r>
        <w:t xml:space="preserve">), </w:t>
      </w:r>
    </w:p>
    <w:p w:rsidR="00326C63" w:rsidRDefault="00326C63" w:rsidP="00326C63">
      <w:pPr>
        <w:pStyle w:val="Akapitzlist"/>
        <w:widowControl w:val="0"/>
        <w:numPr>
          <w:ilvl w:val="0"/>
          <w:numId w:val="2"/>
        </w:numPr>
        <w:tabs>
          <w:tab w:val="left" w:pos="1440"/>
        </w:tabs>
        <w:suppressAutoHyphens/>
        <w:snapToGrid w:val="0"/>
        <w:jc w:val="both"/>
      </w:pPr>
      <w:r>
        <w:t>Etykiety stosowania środków ochrony roślin dopuszczonych do obrotu i stosowania zezwoleniem Ministra Rolnictwa i Rozwoju Wsi - (</w:t>
      </w:r>
      <w:hyperlink r:id="rId9" w:history="1">
        <w:r>
          <w:rPr>
            <w:rStyle w:val="Hipercze"/>
          </w:rPr>
          <w:t>http://www.bip.minrol.gov.pl/DesktopDefault.aspx?TabOrgId=648&amp;LangId=0</w:t>
        </w:r>
      </w:hyperlink>
      <w:r>
        <w:t>).</w:t>
      </w:r>
    </w:p>
    <w:p w:rsidR="00326C63" w:rsidRDefault="00326C63" w:rsidP="00326C63">
      <w:pPr>
        <w:pStyle w:val="Akapitzlist"/>
        <w:widowControl w:val="0"/>
        <w:tabs>
          <w:tab w:val="left" w:pos="1440"/>
        </w:tabs>
        <w:suppressAutoHyphens/>
        <w:snapToGrid w:val="0"/>
        <w:jc w:val="both"/>
      </w:pPr>
    </w:p>
    <w:p w:rsidR="00326C63" w:rsidRDefault="00326C63" w:rsidP="00326C63">
      <w:pPr>
        <w:pStyle w:val="Akapitzlist"/>
        <w:widowControl w:val="0"/>
        <w:tabs>
          <w:tab w:val="left" w:pos="1440"/>
        </w:tabs>
        <w:suppressAutoHyphens/>
        <w:snapToGrid w:val="0"/>
        <w:jc w:val="both"/>
      </w:pPr>
    </w:p>
    <w:p w:rsidR="00326C63" w:rsidRDefault="00326C63" w:rsidP="00326C63">
      <w:pPr>
        <w:jc w:val="both"/>
      </w:pPr>
      <w:r>
        <w:rPr>
          <w:b/>
          <w:sz w:val="28"/>
          <w:szCs w:val="28"/>
        </w:rPr>
        <w:t>Uwagi:</w:t>
      </w:r>
    </w:p>
    <w:p w:rsidR="00326C63" w:rsidRDefault="00326C63" w:rsidP="00326C63"/>
    <w:p w:rsidR="00326C63" w:rsidRDefault="00326C63" w:rsidP="00326C63">
      <w:r>
        <w:t xml:space="preserve">Z dniem 1 stycznia 2014 roku wszedł w życie obowiązek stosowania zasad integrowanej ochrony roślin przez wszystkich profesjonalnych użytkowników środków ochrony roślin. Szczegóły na stronie: </w:t>
      </w:r>
      <w:hyperlink r:id="rId10" w:history="1">
        <w:r>
          <w:rPr>
            <w:rStyle w:val="Hipercze"/>
          </w:rPr>
          <w:t>http://www.minrol.gov.pl/pol/Informacje-branzowe/Produkcja-roslinna/Ochrona-roslin/Integrowana-ochrona-roslin</w:t>
        </w:r>
      </w:hyperlink>
      <w:r>
        <w:t>.</w:t>
      </w:r>
    </w:p>
    <w:p w:rsidR="00326C63" w:rsidRDefault="00326C63" w:rsidP="00326C63">
      <w:r>
        <w:t>Zgodnie z obowiązującymi przepisami prawa, do ochrony upraw można stosować środki ochrony roślin dopuszczone do obrotu i stosowania na podstawie wydanych przez Ministra Rolnictwa i Rozwoju Wsi zezwoleń lub pozwoleń na handel równoległy.</w:t>
      </w:r>
    </w:p>
    <w:p w:rsidR="00326C63" w:rsidRDefault="00326C63" w:rsidP="00326C63">
      <w:pPr>
        <w:rPr>
          <w:b/>
        </w:rPr>
      </w:pPr>
      <w:r>
        <w:br/>
        <w:t>1) Środki ochrony roślin należy stosować w taki sposób, aby nie stwarzać zagrożenia dla zdrowia ludzi, zwierząt oraz dla środowiska, w tym przeciwdziałać zniesieniu środków ochrony roślin na obszary i obiekty nie będące celem zabiegu z zastosowaniem tych środków oraz planować stosowanie środków ochrony roślin z uwzględnieniem okresu, w którym ludzie będą przebywać na obszarze objętym zabiegiem.</w:t>
      </w:r>
      <w:r>
        <w:br/>
      </w:r>
      <w:r>
        <w:lastRenderedPageBreak/>
        <w:t>2) Do zabiegu z zastosowaniem środków ochrony roślin używa się sprzętu przeznaczonego do stosowania środków ochrony roślin, który:</w:t>
      </w:r>
      <w:r>
        <w:br/>
        <w:t>● użyty zgodnie z przeznaczeniem nie stwarza zagrożenia dla zdrowia ludzi, zwierząt oraz dla środowiska;</w:t>
      </w:r>
      <w:r>
        <w:br/>
        <w:t>● jest sprawny technicznie i skalibrowany, tak aby zapewnić prawidłowe stosowanie środków ochrony roślin.</w:t>
      </w:r>
      <w:r>
        <w:br/>
        <w:t>3) Zabieg z zastosowaniem środków ochrony roślin przeznaczonych dla użytkowników profesjonalnych może być wykonywany przez osoby przeszkolone, zgodnie z art. 41 ustawy o środkach ochrony roślin.</w:t>
      </w:r>
      <w:r>
        <w:br/>
        <w:t>4) Profesjonalni użytkownicy środków ochrony roślin są zobowiązani do prowadzenia dokumentacji dotyczącej stosowanych przez nich środków ochrony roślin i przechowywania jej przez co najmniej 3 lata.</w:t>
      </w:r>
    </w:p>
    <w:p w:rsidR="00326C63" w:rsidRDefault="00326C63" w:rsidP="00326C63">
      <w:pPr>
        <w:ind w:left="720"/>
        <w:jc w:val="both"/>
        <w:rPr>
          <w:sz w:val="16"/>
          <w:szCs w:val="16"/>
        </w:rPr>
      </w:pPr>
    </w:p>
    <w:p w:rsidR="00326C63" w:rsidRDefault="00326C63" w:rsidP="00326C63">
      <w:pPr>
        <w:rPr>
          <w:sz w:val="20"/>
          <w:szCs w:val="20"/>
        </w:rPr>
      </w:pPr>
      <w:r>
        <w:rPr>
          <w:sz w:val="20"/>
          <w:szCs w:val="20"/>
        </w:rPr>
        <w:t>Opracowała: M. Błażej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Kierownik Oddziału w Rzeszowie</w:t>
      </w:r>
    </w:p>
    <w:p w:rsidR="00326C63" w:rsidRDefault="00326C63" w:rsidP="00326C63">
      <w:pPr>
        <w:rPr>
          <w:b/>
          <w:i/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b/>
          <w:i/>
          <w:sz w:val="20"/>
          <w:szCs w:val="20"/>
        </w:rPr>
        <w:t>Roman Chmura</w:t>
      </w:r>
    </w:p>
    <w:p w:rsidR="00326C63" w:rsidRDefault="00326C63" w:rsidP="00326C63">
      <w:pPr>
        <w:jc w:val="center"/>
      </w:pPr>
    </w:p>
    <w:p w:rsidR="00326C63" w:rsidRDefault="00326C63" w:rsidP="00326C63"/>
    <w:p w:rsidR="00326C63" w:rsidRDefault="00326C63" w:rsidP="00326C63"/>
    <w:p w:rsidR="00326C63" w:rsidRDefault="00326C63" w:rsidP="00326C63"/>
    <w:p w:rsidR="00326C63" w:rsidRDefault="00326C63" w:rsidP="00326C63"/>
    <w:p w:rsidR="008A288A" w:rsidRPr="001F0A96" w:rsidRDefault="008A288A" w:rsidP="001F0A96">
      <w:pPr>
        <w:jc w:val="both"/>
      </w:pPr>
    </w:p>
    <w:sectPr w:rsidR="008A288A" w:rsidRPr="001F0A96" w:rsidSect="00923E72">
      <w:footerReference w:type="default" r:id="rId11"/>
      <w:pgSz w:w="11906" w:h="16838"/>
      <w:pgMar w:top="1134" w:right="1417" w:bottom="1417" w:left="1417" w:header="708" w:footer="325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A735B" w:rsidRDefault="001A735B" w:rsidP="001F672B">
      <w:r>
        <w:separator/>
      </w:r>
    </w:p>
  </w:endnote>
  <w:endnote w:type="continuationSeparator" w:id="0">
    <w:p w:rsidR="001A735B" w:rsidRDefault="001A735B" w:rsidP="001F672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672B" w:rsidRDefault="001F672B" w:rsidP="001F672B">
    <w:pPr>
      <w:pStyle w:val="Stopka"/>
      <w:jc w:val="center"/>
      <w:rPr>
        <w:rFonts w:ascii="Cambria Math" w:hAnsi="Cambria Math"/>
        <w:color w:val="1F3864" w:themeColor="accent1" w:themeShade="80"/>
        <w:sz w:val="16"/>
        <w:szCs w:val="16"/>
      </w:rPr>
    </w:pPr>
    <w:r w:rsidRPr="00923E72">
      <w:rPr>
        <w:rFonts w:ascii="Cambria Math" w:hAnsi="Cambria Math"/>
        <w:color w:val="1F3864" w:themeColor="accent1" w:themeShade="80"/>
        <w:sz w:val="16"/>
        <w:szCs w:val="16"/>
      </w:rPr>
      <w:t>Wojewódzki Inspektorat Ochrony Roślin i Nasiennictwa w Rzeszowie</w:t>
    </w:r>
  </w:p>
  <w:p w:rsidR="0099730F" w:rsidRPr="00923E72" w:rsidRDefault="0099730F" w:rsidP="001F672B">
    <w:pPr>
      <w:pStyle w:val="Stopka"/>
      <w:jc w:val="center"/>
      <w:rPr>
        <w:rFonts w:ascii="Cambria Math" w:hAnsi="Cambria Math"/>
        <w:color w:val="1F3864" w:themeColor="accent1" w:themeShade="80"/>
        <w:sz w:val="16"/>
        <w:szCs w:val="16"/>
      </w:rPr>
    </w:pPr>
    <w:r>
      <w:rPr>
        <w:rFonts w:ascii="Cambria Math" w:hAnsi="Cambria Math"/>
        <w:color w:val="1F3864" w:themeColor="accent1" w:themeShade="80"/>
        <w:sz w:val="16"/>
        <w:szCs w:val="16"/>
      </w:rPr>
      <w:t xml:space="preserve">Oddział w </w:t>
    </w:r>
    <w:r w:rsidR="001B7579">
      <w:rPr>
        <w:rFonts w:ascii="Cambria Math" w:hAnsi="Cambria Math"/>
        <w:color w:val="1F3864" w:themeColor="accent1" w:themeShade="80"/>
        <w:sz w:val="16"/>
        <w:szCs w:val="16"/>
      </w:rPr>
      <w:t>Rzeszowie</w:t>
    </w:r>
  </w:p>
  <w:p w:rsidR="001F672B" w:rsidRPr="00923E72" w:rsidRDefault="001F672B" w:rsidP="001F672B">
    <w:pPr>
      <w:pStyle w:val="Stopka"/>
      <w:jc w:val="center"/>
      <w:rPr>
        <w:rFonts w:ascii="Cambria Math" w:hAnsi="Cambria Math"/>
        <w:color w:val="1F3864" w:themeColor="accent1" w:themeShade="80"/>
        <w:sz w:val="16"/>
        <w:szCs w:val="16"/>
      </w:rPr>
    </w:pPr>
    <w:r w:rsidRPr="00923E72">
      <w:rPr>
        <w:rFonts w:ascii="Cambria Math" w:hAnsi="Cambria Math"/>
        <w:color w:val="1F3864" w:themeColor="accent1" w:themeShade="80"/>
        <w:sz w:val="16"/>
        <w:szCs w:val="16"/>
      </w:rPr>
      <w:t xml:space="preserve">ul. </w:t>
    </w:r>
    <w:r w:rsidR="001B7579">
      <w:rPr>
        <w:rFonts w:ascii="Cambria Math" w:hAnsi="Cambria Math"/>
        <w:color w:val="1F3864" w:themeColor="accent1" w:themeShade="80"/>
        <w:sz w:val="16"/>
        <w:szCs w:val="16"/>
      </w:rPr>
      <w:t>Langiewicza 28</w:t>
    </w:r>
    <w:r w:rsidRPr="00923E72">
      <w:rPr>
        <w:rFonts w:ascii="Cambria Math" w:hAnsi="Cambria Math"/>
        <w:color w:val="1F3864" w:themeColor="accent1" w:themeShade="80"/>
        <w:sz w:val="16"/>
        <w:szCs w:val="16"/>
      </w:rPr>
      <w:t>,  3</w:t>
    </w:r>
    <w:r w:rsidR="001B7579">
      <w:rPr>
        <w:rFonts w:ascii="Cambria Math" w:hAnsi="Cambria Math"/>
        <w:color w:val="1F3864" w:themeColor="accent1" w:themeShade="80"/>
        <w:sz w:val="16"/>
        <w:szCs w:val="16"/>
      </w:rPr>
      <w:t>5</w:t>
    </w:r>
    <w:r w:rsidRPr="00923E72">
      <w:rPr>
        <w:rFonts w:ascii="Cambria Math" w:hAnsi="Cambria Math"/>
        <w:color w:val="1F3864" w:themeColor="accent1" w:themeShade="80"/>
        <w:sz w:val="16"/>
        <w:szCs w:val="16"/>
      </w:rPr>
      <w:t>-</w:t>
    </w:r>
    <w:r w:rsidR="00140ABA">
      <w:rPr>
        <w:rFonts w:ascii="Cambria Math" w:hAnsi="Cambria Math"/>
        <w:color w:val="1F3864" w:themeColor="accent1" w:themeShade="80"/>
        <w:sz w:val="16"/>
        <w:szCs w:val="16"/>
      </w:rPr>
      <w:t>1</w:t>
    </w:r>
    <w:r w:rsidR="0099730F">
      <w:rPr>
        <w:rFonts w:ascii="Cambria Math" w:hAnsi="Cambria Math"/>
        <w:color w:val="1F3864" w:themeColor="accent1" w:themeShade="80"/>
        <w:sz w:val="16"/>
        <w:szCs w:val="16"/>
      </w:rPr>
      <w:t>0</w:t>
    </w:r>
    <w:r w:rsidR="001B7579">
      <w:rPr>
        <w:rFonts w:ascii="Cambria Math" w:hAnsi="Cambria Math"/>
        <w:color w:val="1F3864" w:themeColor="accent1" w:themeShade="80"/>
        <w:sz w:val="16"/>
        <w:szCs w:val="16"/>
      </w:rPr>
      <w:t>1</w:t>
    </w:r>
    <w:r w:rsidRPr="00923E72">
      <w:rPr>
        <w:rFonts w:ascii="Cambria Math" w:hAnsi="Cambria Math"/>
        <w:color w:val="1F3864" w:themeColor="accent1" w:themeShade="80"/>
        <w:sz w:val="16"/>
        <w:szCs w:val="16"/>
      </w:rPr>
      <w:t xml:space="preserve"> </w:t>
    </w:r>
    <w:r w:rsidR="001B7579">
      <w:rPr>
        <w:rFonts w:ascii="Cambria Math" w:hAnsi="Cambria Math"/>
        <w:color w:val="1F3864" w:themeColor="accent1" w:themeShade="80"/>
        <w:sz w:val="16"/>
        <w:szCs w:val="16"/>
      </w:rPr>
      <w:t>Rzeszów</w:t>
    </w:r>
  </w:p>
  <w:p w:rsidR="001F672B" w:rsidRPr="00326C63" w:rsidRDefault="001F672B" w:rsidP="001F672B">
    <w:pPr>
      <w:pStyle w:val="Stopka"/>
      <w:jc w:val="center"/>
      <w:rPr>
        <w:rFonts w:ascii="Cambria Math" w:hAnsi="Cambria Math"/>
        <w:color w:val="1F3864" w:themeColor="accent1" w:themeShade="80"/>
        <w:sz w:val="16"/>
        <w:szCs w:val="16"/>
        <w:lang w:val="en-US"/>
      </w:rPr>
    </w:pPr>
    <w:r w:rsidRPr="00326C63">
      <w:rPr>
        <w:rFonts w:ascii="Cambria Math" w:hAnsi="Cambria Math"/>
        <w:color w:val="1F3864" w:themeColor="accent1" w:themeShade="80"/>
        <w:sz w:val="16"/>
        <w:szCs w:val="16"/>
        <w:lang w:val="en-US"/>
      </w:rPr>
      <w:t>tel</w:t>
    </w:r>
    <w:r w:rsidR="00316961" w:rsidRPr="00326C63">
      <w:rPr>
        <w:rFonts w:ascii="Cambria Math" w:hAnsi="Cambria Math"/>
        <w:color w:val="1F3864" w:themeColor="accent1" w:themeShade="80"/>
        <w:sz w:val="16"/>
        <w:szCs w:val="16"/>
        <w:lang w:val="en-US"/>
      </w:rPr>
      <w:t>.</w:t>
    </w:r>
    <w:r w:rsidRPr="00326C63">
      <w:rPr>
        <w:rFonts w:ascii="Cambria Math" w:hAnsi="Cambria Math"/>
        <w:color w:val="1F3864" w:themeColor="accent1" w:themeShade="80"/>
        <w:sz w:val="16"/>
        <w:szCs w:val="16"/>
        <w:lang w:val="en-US"/>
      </w:rPr>
      <w:t xml:space="preserve"> 1</w:t>
    </w:r>
    <w:r w:rsidR="00140ABA" w:rsidRPr="00326C63">
      <w:rPr>
        <w:rFonts w:ascii="Cambria Math" w:hAnsi="Cambria Math"/>
        <w:color w:val="1F3864" w:themeColor="accent1" w:themeShade="80"/>
        <w:sz w:val="16"/>
        <w:szCs w:val="16"/>
        <w:lang w:val="en-US"/>
      </w:rPr>
      <w:t>7</w:t>
    </w:r>
    <w:r w:rsidR="001B7579" w:rsidRPr="00326C63">
      <w:rPr>
        <w:rFonts w:ascii="Cambria Math" w:hAnsi="Cambria Math"/>
        <w:color w:val="1F3864" w:themeColor="accent1" w:themeShade="80"/>
        <w:sz w:val="16"/>
        <w:szCs w:val="16"/>
        <w:lang w:val="en-US"/>
      </w:rPr>
      <w:t> 850 03 96,  fax 17 850 03 97</w:t>
    </w:r>
  </w:p>
  <w:p w:rsidR="001F672B" w:rsidRPr="00326C63" w:rsidRDefault="00347767" w:rsidP="001F672B">
    <w:pPr>
      <w:pStyle w:val="Stopka"/>
      <w:jc w:val="center"/>
      <w:rPr>
        <w:rFonts w:ascii="Cambria Math" w:hAnsi="Cambria Math"/>
        <w:color w:val="1F3864" w:themeColor="accent1" w:themeShade="80"/>
        <w:sz w:val="16"/>
        <w:szCs w:val="16"/>
        <w:lang w:val="en-US"/>
      </w:rPr>
    </w:pPr>
    <w:r w:rsidRPr="00326C63">
      <w:rPr>
        <w:rFonts w:ascii="Cambria Math" w:hAnsi="Cambria Math"/>
        <w:color w:val="1F3864" w:themeColor="accent1" w:themeShade="80"/>
        <w:sz w:val="16"/>
        <w:szCs w:val="16"/>
        <w:lang w:val="en-US"/>
      </w:rPr>
      <w:t>o-</w:t>
    </w:r>
    <w:r w:rsidR="00140ABA" w:rsidRPr="00326C63">
      <w:rPr>
        <w:rFonts w:ascii="Cambria Math" w:hAnsi="Cambria Math"/>
        <w:color w:val="1F3864" w:themeColor="accent1" w:themeShade="80"/>
        <w:sz w:val="16"/>
        <w:szCs w:val="16"/>
        <w:lang w:val="en-US"/>
      </w:rPr>
      <w:t>r</w:t>
    </w:r>
    <w:r w:rsidR="001B7579" w:rsidRPr="00326C63">
      <w:rPr>
        <w:rFonts w:ascii="Cambria Math" w:hAnsi="Cambria Math"/>
        <w:color w:val="1F3864" w:themeColor="accent1" w:themeShade="80"/>
        <w:sz w:val="16"/>
        <w:szCs w:val="16"/>
        <w:lang w:val="en-US"/>
      </w:rPr>
      <w:t>zeszow</w:t>
    </w:r>
    <w:r w:rsidR="001F672B" w:rsidRPr="00326C63">
      <w:rPr>
        <w:rFonts w:ascii="Cambria Math" w:hAnsi="Cambria Math"/>
        <w:color w:val="1F3864" w:themeColor="accent1" w:themeShade="80"/>
        <w:sz w:val="16"/>
        <w:szCs w:val="16"/>
        <w:lang w:val="en-US"/>
      </w:rPr>
      <w:t>@piorin.gov.pl</w:t>
    </w:r>
  </w:p>
  <w:p w:rsidR="001F672B" w:rsidRPr="00326C63" w:rsidRDefault="001F672B" w:rsidP="001F672B">
    <w:pPr>
      <w:pStyle w:val="Stopka"/>
      <w:jc w:val="center"/>
      <w:rPr>
        <w:rFonts w:ascii="Cambria Math" w:hAnsi="Cambria Math"/>
        <w:color w:val="1F3864" w:themeColor="accent1" w:themeShade="80"/>
        <w:sz w:val="16"/>
        <w:szCs w:val="16"/>
        <w:u w:val="single"/>
        <w:lang w:val="en-US"/>
      </w:rPr>
    </w:pPr>
    <w:r w:rsidRPr="00326C63">
      <w:rPr>
        <w:rFonts w:ascii="Cambria Math" w:hAnsi="Cambria Math"/>
        <w:color w:val="1F3864" w:themeColor="accent1" w:themeShade="80"/>
        <w:sz w:val="16"/>
        <w:szCs w:val="16"/>
        <w:u w:val="single"/>
        <w:lang w:val="en-US"/>
      </w:rPr>
      <w:t>piorin.gov.pl/</w:t>
    </w:r>
    <w:proofErr w:type="spellStart"/>
    <w:r w:rsidRPr="00326C63">
      <w:rPr>
        <w:rFonts w:ascii="Cambria Math" w:hAnsi="Cambria Math"/>
        <w:color w:val="1F3864" w:themeColor="accent1" w:themeShade="80"/>
        <w:sz w:val="16"/>
        <w:szCs w:val="16"/>
        <w:u w:val="single"/>
        <w:lang w:val="en-US"/>
      </w:rPr>
      <w:t>wiorin</w:t>
    </w:r>
    <w:proofErr w:type="spellEnd"/>
    <w:r w:rsidRPr="00326C63">
      <w:rPr>
        <w:rFonts w:ascii="Cambria Math" w:hAnsi="Cambria Math"/>
        <w:color w:val="1F3864" w:themeColor="accent1" w:themeShade="80"/>
        <w:sz w:val="16"/>
        <w:szCs w:val="16"/>
        <w:u w:val="single"/>
        <w:lang w:val="en-US"/>
      </w:rPr>
      <w:t>/</w:t>
    </w:r>
    <w:proofErr w:type="spellStart"/>
    <w:r w:rsidRPr="00326C63">
      <w:rPr>
        <w:rFonts w:ascii="Cambria Math" w:hAnsi="Cambria Math"/>
        <w:color w:val="1F3864" w:themeColor="accent1" w:themeShade="80"/>
        <w:sz w:val="16"/>
        <w:szCs w:val="16"/>
        <w:u w:val="single"/>
        <w:lang w:val="en-US"/>
      </w:rPr>
      <w:t>podkarpackie</w:t>
    </w:r>
    <w:proofErr w:type="spellEnd"/>
    <w:r w:rsidRPr="00326C63">
      <w:rPr>
        <w:rFonts w:ascii="Cambria Math" w:hAnsi="Cambria Math"/>
        <w:color w:val="1F3864" w:themeColor="accent1" w:themeShade="80"/>
        <w:sz w:val="16"/>
        <w:szCs w:val="16"/>
        <w:u w:val="single"/>
        <w:lang w:val="en-US"/>
      </w:rPr>
      <w:t>/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A735B" w:rsidRDefault="001A735B" w:rsidP="001F672B">
      <w:r>
        <w:separator/>
      </w:r>
    </w:p>
  </w:footnote>
  <w:footnote w:type="continuationSeparator" w:id="0">
    <w:p w:rsidR="001A735B" w:rsidRDefault="001A735B" w:rsidP="001F672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07B1121"/>
    <w:multiLevelType w:val="hybridMultilevel"/>
    <w:tmpl w:val="AFB2D46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CA06525"/>
    <w:multiLevelType w:val="hybridMultilevel"/>
    <w:tmpl w:val="FCBC51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/>
  <w:attachedTemplate r:id="rId1"/>
  <w:stylePaneFormatFilter w:val="3F01"/>
  <w:defaultTabStop w:val="708"/>
  <w:hyphenationZone w:val="425"/>
  <w:characterSpacingControl w:val="doNotCompress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/>
  <w:rsids>
    <w:rsidRoot w:val="00581A79"/>
    <w:rsid w:val="00002155"/>
    <w:rsid w:val="00140ABA"/>
    <w:rsid w:val="00145270"/>
    <w:rsid w:val="001A735B"/>
    <w:rsid w:val="001B5920"/>
    <w:rsid w:val="001B7579"/>
    <w:rsid w:val="001F0A96"/>
    <w:rsid w:val="001F672B"/>
    <w:rsid w:val="00316961"/>
    <w:rsid w:val="00326C63"/>
    <w:rsid w:val="00347767"/>
    <w:rsid w:val="003565C5"/>
    <w:rsid w:val="00370F34"/>
    <w:rsid w:val="00581A79"/>
    <w:rsid w:val="005D02F5"/>
    <w:rsid w:val="00623C0F"/>
    <w:rsid w:val="00630D10"/>
    <w:rsid w:val="00663220"/>
    <w:rsid w:val="006D08BF"/>
    <w:rsid w:val="0078026B"/>
    <w:rsid w:val="007C34D0"/>
    <w:rsid w:val="008A15E5"/>
    <w:rsid w:val="008A288A"/>
    <w:rsid w:val="008D7C77"/>
    <w:rsid w:val="00923E72"/>
    <w:rsid w:val="0094678B"/>
    <w:rsid w:val="0099730F"/>
    <w:rsid w:val="009A6B4F"/>
    <w:rsid w:val="009F4A71"/>
    <w:rsid w:val="00A349FD"/>
    <w:rsid w:val="00C457C9"/>
    <w:rsid w:val="00D8251A"/>
    <w:rsid w:val="00D936BF"/>
    <w:rsid w:val="00DD537B"/>
    <w:rsid w:val="00F40428"/>
    <w:rsid w:val="00FE5B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145270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145270"/>
    <w:pPr>
      <w:keepNext/>
      <w:framePr w:hSpace="141" w:wrap="around" w:vAnchor="page" w:hAnchor="margin" w:xAlign="center" w:y="1058"/>
      <w:tabs>
        <w:tab w:val="left" w:pos="1260"/>
      </w:tabs>
      <w:ind w:left="-113"/>
      <w:outlineLvl w:val="0"/>
    </w:pPr>
    <w:rPr>
      <w:rFonts w:ascii="Arial Narrow" w:hAnsi="Arial Narrow" w:cs="Arial"/>
      <w:b/>
      <w:color w:val="143320"/>
      <w:sz w:val="30"/>
      <w:szCs w:val="3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semiHidden/>
    <w:rsid w:val="00145270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rsid w:val="001F672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1F672B"/>
    <w:rPr>
      <w:sz w:val="24"/>
      <w:szCs w:val="24"/>
    </w:rPr>
  </w:style>
  <w:style w:type="paragraph" w:styleId="Stopka">
    <w:name w:val="footer"/>
    <w:basedOn w:val="Normalny"/>
    <w:link w:val="StopkaZnak"/>
    <w:rsid w:val="001F672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1F672B"/>
    <w:rPr>
      <w:sz w:val="24"/>
      <w:szCs w:val="24"/>
    </w:rPr>
  </w:style>
  <w:style w:type="character" w:styleId="Hipercze">
    <w:name w:val="Hyperlink"/>
    <w:basedOn w:val="Domylnaczcionkaakapitu"/>
    <w:rsid w:val="001F672B"/>
    <w:rPr>
      <w:color w:val="0563C1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1F672B"/>
    <w:rPr>
      <w:color w:val="808080"/>
      <w:shd w:val="clear" w:color="auto" w:fill="E6E6E6"/>
    </w:rPr>
  </w:style>
  <w:style w:type="paragraph" w:styleId="Akapitzlist">
    <w:name w:val="List Paragraph"/>
    <w:basedOn w:val="Normalny"/>
    <w:uiPriority w:val="34"/>
    <w:qFormat/>
    <w:rsid w:val="00326C6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023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inrol.gov.pl/pol/Informacje-branzowe/Wyszukiwarka-srodkow-ochrony-roslin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yperlink" Target="http://www.minrol.gov.pl/pol/Informacje-branzowe/Produkcja-roslinna/Ochrona-roslin/Integrowana-ochrona-roslin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bip.minrol.gov.pl/DesktopDefault.aspx?TabOrgId=648&amp;LangId=0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Krzysiek\Dane%20aplikacji\Microsoft\Szablony\_logo-1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_logo-1</Template>
  <TotalTime>1</TotalTime>
  <Pages>2</Pages>
  <Words>478</Words>
  <Characters>2870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>*</Company>
  <LinksUpToDate>false</LinksUpToDate>
  <CharactersWithSpaces>3342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WIORIN</dc:creator>
  <cp:lastModifiedBy>user</cp:lastModifiedBy>
  <cp:revision>3</cp:revision>
  <cp:lastPrinted>2017-07-11T11:28:00Z</cp:lastPrinted>
  <dcterms:created xsi:type="dcterms:W3CDTF">2018-05-16T09:38:00Z</dcterms:created>
  <dcterms:modified xsi:type="dcterms:W3CDTF">2018-05-16T09:55:00Z</dcterms:modified>
</cp:coreProperties>
</file>