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058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9089"/>
      </w:tblGrid>
      <w:tr w:rsidR="007C0F6D" w:rsidTr="00033EC7">
        <w:trPr>
          <w:cantSplit/>
          <w:trHeight w:val="718"/>
        </w:trPr>
        <w:tc>
          <w:tcPr>
            <w:tcW w:w="11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C0F6D" w:rsidRDefault="007C0F6D" w:rsidP="00033EC7">
            <w:r>
              <w:rPr>
                <w:noProof/>
              </w:rPr>
              <w:drawing>
                <wp:inline distT="0" distB="0" distL="0" distR="0">
                  <wp:extent cx="405130" cy="897255"/>
                  <wp:effectExtent l="19050" t="0" r="0" b="0"/>
                  <wp:docPr id="1" name="Obraz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897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9" w:type="dxa"/>
            <w:tcBorders>
              <w:top w:val="nil"/>
              <w:left w:val="nil"/>
              <w:bottom w:val="single" w:sz="12" w:space="0" w:color="009E60"/>
              <w:right w:val="nil"/>
            </w:tcBorders>
            <w:vAlign w:val="bottom"/>
          </w:tcPr>
          <w:p w:rsidR="007C0F6D" w:rsidRDefault="007C0F6D" w:rsidP="00033EC7">
            <w:pPr>
              <w:pStyle w:val="Nagwek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OCHRONY ROŚLIN</w:t>
            </w:r>
            <w:r>
              <w:rPr>
                <w:sz w:val="28"/>
                <w:szCs w:val="28"/>
              </w:rPr>
              <w:br/>
              <w:t>I NASIENNICTWA W RZESZOWIE</w:t>
            </w:r>
          </w:p>
          <w:p w:rsidR="007C0F6D" w:rsidRDefault="007C0F6D" w:rsidP="00033EC7">
            <w:pPr>
              <w:ind w:left="-113"/>
            </w:pPr>
            <w:r>
              <w:rPr>
                <w:sz w:val="28"/>
                <w:szCs w:val="28"/>
              </w:rPr>
              <w:t xml:space="preserve"> ODDZIAŁ W RZESZOWIE</w:t>
            </w:r>
          </w:p>
        </w:tc>
      </w:tr>
      <w:tr w:rsidR="007C0F6D" w:rsidRPr="0006664A" w:rsidTr="00033EC7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0F6D" w:rsidRDefault="007C0F6D" w:rsidP="00033EC7"/>
        </w:tc>
        <w:tc>
          <w:tcPr>
            <w:tcW w:w="9089" w:type="dxa"/>
            <w:tcBorders>
              <w:top w:val="single" w:sz="12" w:space="0" w:color="009E60"/>
              <w:left w:val="nil"/>
              <w:bottom w:val="nil"/>
              <w:right w:val="nil"/>
            </w:tcBorders>
            <w:vAlign w:val="center"/>
          </w:tcPr>
          <w:p w:rsidR="007C0F6D" w:rsidRDefault="007C0F6D" w:rsidP="00033EC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ul. Langiewicza 28, 35-101 Rzeszów</w:t>
            </w:r>
          </w:p>
          <w:p w:rsidR="007C0F6D" w:rsidRDefault="007C0F6D" w:rsidP="00033EC7">
            <w:pPr>
              <w:tabs>
                <w:tab w:val="left" w:pos="1260"/>
              </w:tabs>
              <w:rPr>
                <w:rFonts w:ascii="Arial Narrow" w:hAnsi="Arial Narrow"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sz w:val="20"/>
                <w:szCs w:val="20"/>
              </w:rPr>
              <w:t>tel./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fax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(17) 850 03 96, tel. </w:t>
            </w:r>
            <w:r>
              <w:rPr>
                <w:rFonts w:ascii="Arial Narrow" w:hAnsi="Arial Narrow"/>
                <w:sz w:val="20"/>
                <w:szCs w:val="20"/>
                <w:lang w:val="fr-FR"/>
              </w:rPr>
              <w:t>(17) 850 03 97, (17) 850 03 98</w:t>
            </w:r>
          </w:p>
          <w:p w:rsidR="007C0F6D" w:rsidRDefault="007C0F6D" w:rsidP="00033EC7">
            <w:pPr>
              <w:rPr>
                <w:rFonts w:ascii="Arial Narrow" w:hAnsi="Arial Narrow"/>
                <w:sz w:val="20"/>
                <w:szCs w:val="20"/>
                <w:lang w:val="pt-BR"/>
              </w:rPr>
            </w:pPr>
            <w:r>
              <w:rPr>
                <w:rFonts w:ascii="Arial Narrow" w:hAnsi="Arial Narrow"/>
                <w:sz w:val="20"/>
                <w:szCs w:val="20"/>
                <w:lang w:val="pt-BR"/>
              </w:rPr>
              <w:t xml:space="preserve">www.piorin.gov.pl/rzeszow, e-mail: </w:t>
            </w:r>
            <w:r w:rsidR="00A0287D">
              <w:fldChar w:fldCharType="begin"/>
            </w:r>
            <w:r w:rsidR="00056B7C" w:rsidRPr="00C6089C">
              <w:rPr>
                <w:lang w:val="en-US"/>
              </w:rPr>
              <w:instrText>HYPERLINK "mailto:o-rzeszow@piorin.gov.pl"</w:instrText>
            </w:r>
            <w:r w:rsidR="00A0287D">
              <w:fldChar w:fldCharType="separate"/>
            </w:r>
            <w:r>
              <w:rPr>
                <w:rStyle w:val="Hipercze"/>
                <w:rFonts w:ascii="Arial Narrow" w:hAnsi="Arial Narrow"/>
                <w:sz w:val="20"/>
                <w:szCs w:val="20"/>
                <w:lang w:val="pt-BR"/>
              </w:rPr>
              <w:t>o-rzeszow@piorin.gov.pl</w:t>
            </w:r>
            <w:r w:rsidR="00A0287D">
              <w:fldChar w:fldCharType="end"/>
            </w:r>
            <w:r>
              <w:rPr>
                <w:rFonts w:ascii="Arial Narrow" w:hAnsi="Arial Narrow"/>
                <w:sz w:val="20"/>
                <w:szCs w:val="20"/>
                <w:lang w:val="pt-BR"/>
              </w:rPr>
              <w:t xml:space="preserve"> </w:t>
            </w:r>
          </w:p>
          <w:p w:rsidR="007C0F6D" w:rsidRDefault="007C0F6D" w:rsidP="00033EC7">
            <w:pPr>
              <w:rPr>
                <w:lang w:val="pt-BR"/>
              </w:rPr>
            </w:pPr>
          </w:p>
        </w:tc>
      </w:tr>
    </w:tbl>
    <w:p w:rsidR="00C6089C" w:rsidRDefault="00C6089C" w:rsidP="00C6089C">
      <w:pPr>
        <w:pStyle w:val="Nagwek2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Komunikat z dnia </w:t>
      </w:r>
      <w:r w:rsidR="0006664A">
        <w:rPr>
          <w:color w:val="auto"/>
          <w:sz w:val="28"/>
          <w:szCs w:val="28"/>
        </w:rPr>
        <w:t>4</w:t>
      </w:r>
      <w:r>
        <w:rPr>
          <w:color w:val="auto"/>
          <w:sz w:val="28"/>
          <w:szCs w:val="28"/>
        </w:rPr>
        <w:t xml:space="preserve"> </w:t>
      </w:r>
      <w:r w:rsidR="0006664A">
        <w:rPr>
          <w:color w:val="auto"/>
          <w:sz w:val="28"/>
          <w:szCs w:val="28"/>
        </w:rPr>
        <w:t>kwietnia</w:t>
      </w:r>
      <w:r>
        <w:rPr>
          <w:color w:val="auto"/>
          <w:sz w:val="28"/>
          <w:szCs w:val="28"/>
        </w:rPr>
        <w:t xml:space="preserve"> 201</w:t>
      </w:r>
      <w:r w:rsidR="0006664A">
        <w:rPr>
          <w:color w:val="auto"/>
          <w:sz w:val="28"/>
          <w:szCs w:val="28"/>
        </w:rPr>
        <w:t>6</w:t>
      </w:r>
      <w:r>
        <w:rPr>
          <w:color w:val="auto"/>
          <w:sz w:val="28"/>
          <w:szCs w:val="28"/>
        </w:rPr>
        <w:t xml:space="preserve"> roku</w:t>
      </w:r>
    </w:p>
    <w:p w:rsidR="00C6089C" w:rsidRDefault="00C6089C" w:rsidP="00C6089C">
      <w:pPr>
        <w:jc w:val="center"/>
      </w:pPr>
      <w:r>
        <w:rPr>
          <w:b/>
          <w:bCs/>
          <w:sz w:val="28"/>
          <w:szCs w:val="28"/>
        </w:rPr>
        <w:t>o zwalczaniu zarazy ogniowej</w:t>
      </w:r>
    </w:p>
    <w:p w:rsidR="00C6089C" w:rsidRDefault="00C6089C" w:rsidP="00C6089C">
      <w:pPr>
        <w:rPr>
          <w:sz w:val="20"/>
          <w:szCs w:val="20"/>
        </w:rPr>
      </w:pPr>
    </w:p>
    <w:p w:rsidR="00C6089C" w:rsidRDefault="00C6089C" w:rsidP="00C6089C">
      <w:pPr>
        <w:jc w:val="both"/>
      </w:pPr>
      <w:r>
        <w:rPr>
          <w:sz w:val="22"/>
          <w:szCs w:val="22"/>
        </w:rPr>
        <w:t>Warunkami sprzyjającymi infekcjom i rozwojowi choroby w sezonie wegetacyjnym jest optymalna temperatura 20—24</w:t>
      </w:r>
      <w:r>
        <w:rPr>
          <w:sz w:val="22"/>
          <w:szCs w:val="22"/>
          <w:vertAlign w:val="superscript"/>
        </w:rPr>
        <w:t>o</w:t>
      </w:r>
      <w:r>
        <w:rPr>
          <w:sz w:val="22"/>
          <w:szCs w:val="22"/>
        </w:rPr>
        <w:t>C i wysoka wilgotność powietrza.</w:t>
      </w:r>
    </w:p>
    <w:p w:rsidR="00C6089C" w:rsidRDefault="00C6089C" w:rsidP="00C6089C">
      <w:pPr>
        <w:jc w:val="both"/>
      </w:pPr>
      <w:r>
        <w:rPr>
          <w:sz w:val="22"/>
          <w:szCs w:val="22"/>
        </w:rPr>
        <w:t>O zagrożeniu chorobą decydują:</w:t>
      </w:r>
    </w:p>
    <w:p w:rsidR="00C6089C" w:rsidRDefault="00C6089C" w:rsidP="00C6089C">
      <w:pPr>
        <w:numPr>
          <w:ilvl w:val="0"/>
          <w:numId w:val="1"/>
        </w:numPr>
        <w:jc w:val="both"/>
      </w:pPr>
      <w:r>
        <w:rPr>
          <w:sz w:val="22"/>
          <w:szCs w:val="22"/>
        </w:rPr>
        <w:t>wystąpienie jej w roku ubiegłym w  sadzie i/lub w jego sąsiedztwie oraz efekty podjętego zwalczania</w:t>
      </w:r>
    </w:p>
    <w:p w:rsidR="00C6089C" w:rsidRDefault="00C6089C" w:rsidP="00C6089C">
      <w:pPr>
        <w:numPr>
          <w:ilvl w:val="0"/>
          <w:numId w:val="1"/>
        </w:numPr>
        <w:jc w:val="both"/>
      </w:pPr>
      <w:r>
        <w:rPr>
          <w:sz w:val="22"/>
          <w:szCs w:val="22"/>
        </w:rPr>
        <w:t>przebieg warunków atmosferycznych, zwłaszcza w okresie kwitnienia i intensywnego wzrostu pędów</w:t>
      </w:r>
    </w:p>
    <w:p w:rsidR="00C6089C" w:rsidRDefault="00C6089C" w:rsidP="00C6089C">
      <w:pPr>
        <w:jc w:val="both"/>
      </w:pPr>
      <w:r>
        <w:rPr>
          <w:sz w:val="22"/>
          <w:szCs w:val="22"/>
        </w:rPr>
        <w:t>W celu ograniczenia źródła infekcji należy drzewa silnie porażone usuwać w całości, a w przypadku porażenia w niewielkim stopniu, usuwać chore części z zapasem (najszybciej po wykryciu). Rany należy  zabezpieczyć.</w:t>
      </w:r>
    </w:p>
    <w:p w:rsidR="00C6089C" w:rsidRDefault="00C6089C" w:rsidP="00C6089C">
      <w:pPr>
        <w:jc w:val="both"/>
      </w:pPr>
      <w:r>
        <w:rPr>
          <w:sz w:val="22"/>
          <w:szCs w:val="22"/>
        </w:rPr>
        <w:t xml:space="preserve">W rejonach zagrożonych, sady powinny być chronione </w:t>
      </w:r>
      <w:r>
        <w:rPr>
          <w:b/>
          <w:sz w:val="22"/>
          <w:szCs w:val="22"/>
        </w:rPr>
        <w:t>środkami miedziowymi</w:t>
      </w:r>
      <w:r>
        <w:rPr>
          <w:sz w:val="22"/>
          <w:szCs w:val="22"/>
        </w:rPr>
        <w:t>:</w:t>
      </w:r>
    </w:p>
    <w:p w:rsidR="00C6089C" w:rsidRDefault="00C6089C" w:rsidP="00C6089C">
      <w:pPr>
        <w:numPr>
          <w:ilvl w:val="0"/>
          <w:numId w:val="2"/>
        </w:numPr>
        <w:jc w:val="both"/>
      </w:pPr>
      <w:r>
        <w:rPr>
          <w:sz w:val="22"/>
          <w:szCs w:val="22"/>
        </w:rPr>
        <w:t>w fazie nabrzmiewania pąków</w:t>
      </w:r>
    </w:p>
    <w:p w:rsidR="00C6089C" w:rsidRDefault="00C6089C" w:rsidP="00C6089C">
      <w:pPr>
        <w:numPr>
          <w:ilvl w:val="0"/>
          <w:numId w:val="2"/>
        </w:numPr>
        <w:jc w:val="both"/>
      </w:pPr>
      <w:r>
        <w:rPr>
          <w:sz w:val="22"/>
          <w:szCs w:val="22"/>
        </w:rPr>
        <w:t>kwitnienia</w:t>
      </w:r>
    </w:p>
    <w:p w:rsidR="00C6089C" w:rsidRDefault="00C6089C" w:rsidP="00C6089C">
      <w:pPr>
        <w:numPr>
          <w:ilvl w:val="0"/>
          <w:numId w:val="2"/>
        </w:numPr>
        <w:jc w:val="both"/>
      </w:pPr>
      <w:r>
        <w:rPr>
          <w:sz w:val="22"/>
          <w:szCs w:val="22"/>
        </w:rPr>
        <w:t>a w razie potrzeby także w okresie wzrostu zawiązków owoców.</w:t>
      </w:r>
    </w:p>
    <w:p w:rsidR="00C6089C" w:rsidRDefault="00C6089C" w:rsidP="00C6089C">
      <w:pPr>
        <w:ind w:left="720"/>
        <w:jc w:val="both"/>
        <w:rPr>
          <w:sz w:val="8"/>
          <w:szCs w:val="8"/>
        </w:rPr>
      </w:pPr>
    </w:p>
    <w:p w:rsidR="00C6089C" w:rsidRDefault="00C6089C" w:rsidP="00C6089C">
      <w:pPr>
        <w:ind w:firstLine="17"/>
      </w:pPr>
      <w:r>
        <w:rPr>
          <w:sz w:val="22"/>
          <w:szCs w:val="22"/>
        </w:rPr>
        <w:t>Decyzję o sposobie i terminie zwalczania zarazy ogniowej na jabłoni należy podjąć po przeprowadzeniu obserwacji.</w:t>
      </w:r>
    </w:p>
    <w:p w:rsidR="00C6089C" w:rsidRPr="0006664A" w:rsidRDefault="00C6089C" w:rsidP="00C6089C">
      <w:pPr>
        <w:ind w:firstLine="17"/>
        <w:rPr>
          <w:sz w:val="16"/>
          <w:szCs w:val="16"/>
        </w:rPr>
      </w:pPr>
      <w:r>
        <w:rPr>
          <w:sz w:val="22"/>
          <w:szCs w:val="22"/>
        </w:rPr>
        <w:t xml:space="preserve"> </w:t>
      </w:r>
    </w:p>
    <w:p w:rsidR="00C6089C" w:rsidRDefault="00C6089C" w:rsidP="00C6089C">
      <w:pPr>
        <w:jc w:val="both"/>
        <w:rPr>
          <w:b/>
          <w:sz w:val="22"/>
          <w:szCs w:val="22"/>
        </w:rPr>
      </w:pPr>
      <w:r>
        <w:rPr>
          <w:b/>
        </w:rPr>
        <w:t>Dostęp do informacji o środkach ochrony roślin dopuszczonych przez Ministra Rolnictwa i Rozwoju Wsi:</w:t>
      </w:r>
    </w:p>
    <w:p w:rsidR="00C6089C" w:rsidRPr="0006664A" w:rsidRDefault="00C6089C" w:rsidP="00C6089C">
      <w:pPr>
        <w:rPr>
          <w:sz w:val="16"/>
          <w:szCs w:val="16"/>
        </w:rPr>
      </w:pPr>
    </w:p>
    <w:p w:rsidR="00C6089C" w:rsidRDefault="00C6089C" w:rsidP="00C6089C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 xml:space="preserve">Wyszukiwarka dająca możliwość łatwego uzyskania informacji o zalecanych środkach ochrony roślin w danych uprawach, na danego </w:t>
      </w:r>
      <w:proofErr w:type="spellStart"/>
      <w:r>
        <w:t>agrofaga</w:t>
      </w:r>
      <w:proofErr w:type="spellEnd"/>
      <w:r>
        <w:t xml:space="preserve"> - (</w:t>
      </w:r>
      <w:hyperlink r:id="rId6" w:history="1">
        <w:r>
          <w:rPr>
            <w:rStyle w:val="Hipercze"/>
          </w:rPr>
          <w:t>http://www.minrol.gov.pl/pol/Informacje-branzowe/Wyszukiwarka-srodkow-ochrony-roslin</w:t>
        </w:r>
      </w:hyperlink>
      <w:r>
        <w:t xml:space="preserve">), </w:t>
      </w:r>
    </w:p>
    <w:p w:rsidR="00C6089C" w:rsidRDefault="00C6089C" w:rsidP="00C6089C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>Etykiety stosowania środków ochrony roślin dopuszczonych do obrotu i stosowania zezwoleniem Ministra Rolnictwa i Rozwoju Wsi - (</w:t>
      </w:r>
      <w:hyperlink r:id="rId7" w:history="1">
        <w:r>
          <w:rPr>
            <w:rStyle w:val="Hipercze"/>
          </w:rPr>
          <w:t>http://www.bip.minrol.gov.pl/DesktopDefault.aspx?TabOrgId=648&amp;LangId=0</w:t>
        </w:r>
      </w:hyperlink>
      <w:r>
        <w:t>).</w:t>
      </w:r>
    </w:p>
    <w:p w:rsidR="00C6089C" w:rsidRDefault="00C6089C" w:rsidP="00C6089C">
      <w:pPr>
        <w:pStyle w:val="Akapitzlist"/>
        <w:widowControl w:val="0"/>
        <w:tabs>
          <w:tab w:val="left" w:pos="1440"/>
        </w:tabs>
        <w:suppressAutoHyphens/>
        <w:snapToGrid w:val="0"/>
        <w:jc w:val="both"/>
      </w:pPr>
    </w:p>
    <w:p w:rsidR="00C6089C" w:rsidRDefault="00C6089C" w:rsidP="00C6089C">
      <w:pPr>
        <w:jc w:val="both"/>
        <w:rPr>
          <w:sz w:val="22"/>
          <w:szCs w:val="22"/>
        </w:rPr>
      </w:pPr>
      <w:r>
        <w:rPr>
          <w:sz w:val="22"/>
          <w:szCs w:val="22"/>
        </w:rPr>
        <w:t>Uwagi:</w:t>
      </w:r>
    </w:p>
    <w:p w:rsidR="00C6089C" w:rsidRDefault="00C6089C" w:rsidP="00C6089C">
      <w:r>
        <w:t>Zgodnie z ustawą o środkach ochrony roślin:</w:t>
      </w:r>
    </w:p>
    <w:p w:rsidR="00C6089C" w:rsidRDefault="00C6089C" w:rsidP="00C6089C">
      <w:pPr>
        <w:pStyle w:val="Akapitzlist"/>
        <w:widowControl w:val="0"/>
        <w:numPr>
          <w:ilvl w:val="0"/>
          <w:numId w:val="4"/>
        </w:numPr>
        <w:tabs>
          <w:tab w:val="left" w:pos="1440"/>
        </w:tabs>
        <w:suppressAutoHyphens/>
        <w:snapToGrid w:val="0"/>
        <w:jc w:val="both"/>
      </w:pPr>
      <w:r>
        <w:t xml:space="preserve">Środki ochrony roślin mogą być stosowane jeżeli zostały dopuszczone do obrotu </w:t>
      </w:r>
      <w:r>
        <w:br/>
        <w:t>i stosowania</w:t>
      </w:r>
      <w:bookmarkStart w:id="0" w:name="_GoBack"/>
      <w:bookmarkEnd w:id="0"/>
      <w:r>
        <w:t xml:space="preserve">. </w:t>
      </w:r>
    </w:p>
    <w:p w:rsidR="00C6089C" w:rsidRDefault="00C6089C" w:rsidP="00C6089C">
      <w:pPr>
        <w:pStyle w:val="Akapitzlist"/>
        <w:widowControl w:val="0"/>
        <w:numPr>
          <w:ilvl w:val="0"/>
          <w:numId w:val="4"/>
        </w:numPr>
        <w:tabs>
          <w:tab w:val="left" w:pos="1440"/>
        </w:tabs>
        <w:suppressAutoHyphens/>
        <w:snapToGrid w:val="0"/>
        <w:jc w:val="both"/>
      </w:pPr>
      <w:r>
        <w:t>Środki ochrony roślin należy stosować w taki sposób, aby nie stwarzać zagrożenia dla zdrowia ludzi, zwierząt oraz dla środowiska, w tym przeciwdziałać zniesieniu środków ochrony roślin na obszary i obiekty niebędące celem zabiegu z zastosowaniem tych środków oraz planować stosowanie środków ochrony roślin z uwzględnieniem okresu, w którym ludzie będą przebywać na obszarze objętym zabiegiem.</w:t>
      </w:r>
    </w:p>
    <w:p w:rsidR="00C6089C" w:rsidRDefault="00C6089C" w:rsidP="00C6089C">
      <w:pPr>
        <w:pStyle w:val="Akapitzlist"/>
        <w:widowControl w:val="0"/>
        <w:numPr>
          <w:ilvl w:val="0"/>
          <w:numId w:val="4"/>
        </w:numPr>
        <w:tabs>
          <w:tab w:val="left" w:pos="1440"/>
        </w:tabs>
        <w:suppressAutoHyphens/>
        <w:snapToGrid w:val="0"/>
        <w:jc w:val="both"/>
      </w:pPr>
      <w:r>
        <w:t>Środki ochrony roślin stosuje się sprzętem sprawnym technicznie.</w:t>
      </w:r>
    </w:p>
    <w:p w:rsidR="00C6089C" w:rsidRDefault="00C6089C" w:rsidP="00C6089C">
      <w:pPr>
        <w:pStyle w:val="Akapitzlist"/>
        <w:widowControl w:val="0"/>
        <w:numPr>
          <w:ilvl w:val="0"/>
          <w:numId w:val="4"/>
        </w:numPr>
        <w:tabs>
          <w:tab w:val="left" w:pos="1440"/>
        </w:tabs>
        <w:suppressAutoHyphens/>
        <w:snapToGrid w:val="0"/>
        <w:jc w:val="both"/>
      </w:pPr>
      <w:r>
        <w:t>Zabieg z zastosowaniem środków ochrony roślin przeznaczonych dla użytkowników profesjonalnych może być wykonywany przez osoby przeszkolone, zgodnie z art. 41 w/w ustawy.</w:t>
      </w:r>
    </w:p>
    <w:p w:rsidR="00C6089C" w:rsidRDefault="00C6089C" w:rsidP="00C6089C">
      <w:pPr>
        <w:pStyle w:val="Akapitzlist"/>
        <w:widowControl w:val="0"/>
        <w:numPr>
          <w:ilvl w:val="0"/>
          <w:numId w:val="4"/>
        </w:numPr>
        <w:tabs>
          <w:tab w:val="left" w:pos="1440"/>
        </w:tabs>
        <w:suppressAutoHyphens/>
        <w:snapToGrid w:val="0"/>
        <w:jc w:val="both"/>
      </w:pPr>
      <w:r>
        <w:lastRenderedPageBreak/>
        <w:t>Profesjonalni użytkownicy środków ochrony roślin są zobowiązani do prowadzenia dokumentacji dotyczącej stosowanych przez nich środków ochrony roślin i przechowywania jej przez co najmniej 3 lata.</w:t>
      </w:r>
    </w:p>
    <w:p w:rsidR="00C6089C" w:rsidRDefault="00C6089C" w:rsidP="00C6089C"/>
    <w:p w:rsidR="00C6089C" w:rsidRDefault="00C6089C" w:rsidP="00C6089C">
      <w:pPr>
        <w:rPr>
          <w:b/>
        </w:rPr>
      </w:pPr>
    </w:p>
    <w:p w:rsidR="00C6089C" w:rsidRDefault="00C6089C" w:rsidP="00C6089C">
      <w:pPr>
        <w:ind w:left="720"/>
        <w:jc w:val="both"/>
        <w:rPr>
          <w:sz w:val="16"/>
          <w:szCs w:val="16"/>
        </w:rPr>
      </w:pPr>
    </w:p>
    <w:p w:rsidR="00C6089C" w:rsidRDefault="00C6089C" w:rsidP="00C6089C">
      <w:pPr>
        <w:rPr>
          <w:sz w:val="20"/>
          <w:szCs w:val="20"/>
        </w:rPr>
      </w:pPr>
      <w:r>
        <w:rPr>
          <w:sz w:val="20"/>
          <w:szCs w:val="20"/>
        </w:rPr>
        <w:t>Opracowała: M. Błażej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Kierownik Oddziału w Rzeszowie</w:t>
      </w:r>
    </w:p>
    <w:p w:rsidR="00C6089C" w:rsidRDefault="00C6089C" w:rsidP="00C6089C">
      <w:pPr>
        <w:rPr>
          <w:b/>
          <w:i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i/>
          <w:sz w:val="20"/>
          <w:szCs w:val="20"/>
        </w:rPr>
        <w:t>Krzysztof Kucia</w:t>
      </w:r>
    </w:p>
    <w:p w:rsidR="00C6089C" w:rsidRDefault="00C6089C" w:rsidP="00C6089C">
      <w:pPr>
        <w:jc w:val="center"/>
      </w:pPr>
    </w:p>
    <w:p w:rsidR="00C6089C" w:rsidRDefault="00C6089C" w:rsidP="00C6089C"/>
    <w:p w:rsidR="00C6089C" w:rsidRDefault="00C6089C" w:rsidP="00C6089C"/>
    <w:p w:rsidR="00053154" w:rsidRPr="007C0F6D" w:rsidRDefault="00053154">
      <w:pPr>
        <w:rPr>
          <w:lang w:val="en-US"/>
        </w:rPr>
      </w:pPr>
    </w:p>
    <w:sectPr w:rsidR="00053154" w:rsidRPr="007C0F6D" w:rsidSect="00053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06CFB"/>
    <w:multiLevelType w:val="hybridMultilevel"/>
    <w:tmpl w:val="3FC01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395587"/>
    <w:multiLevelType w:val="hybridMultilevel"/>
    <w:tmpl w:val="9ABA6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0C0FA8"/>
    <w:multiLevelType w:val="hybridMultilevel"/>
    <w:tmpl w:val="9F38B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7B1121"/>
    <w:multiLevelType w:val="hybridMultilevel"/>
    <w:tmpl w:val="AFB2D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0F6D"/>
    <w:rsid w:val="00053154"/>
    <w:rsid w:val="00056B7C"/>
    <w:rsid w:val="0006664A"/>
    <w:rsid w:val="007C0F6D"/>
    <w:rsid w:val="00A0287D"/>
    <w:rsid w:val="00C60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C0F6D"/>
    <w:pPr>
      <w:keepNext/>
      <w:jc w:val="both"/>
      <w:outlineLvl w:val="0"/>
    </w:pPr>
    <w:rPr>
      <w:bCs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08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7C0F6D"/>
    <w:rPr>
      <w:rFonts w:ascii="Times New Roman" w:eastAsia="Times New Roman" w:hAnsi="Times New Roman" w:cs="Times New Roman"/>
      <w:bCs/>
      <w:sz w:val="30"/>
      <w:szCs w:val="30"/>
      <w:lang w:eastAsia="pl-PL"/>
    </w:rPr>
  </w:style>
  <w:style w:type="character" w:styleId="Hipercze">
    <w:name w:val="Hyperlink"/>
    <w:basedOn w:val="Domylnaczcionkaakapitu"/>
    <w:uiPriority w:val="99"/>
    <w:semiHidden/>
    <w:rsid w:val="007C0F6D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F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F6D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08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608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minrol.gov.pl/DesktopDefault.aspx?TabOrgId=648&amp;LangI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rol.gov.pl/pol/Informacje-branzowe/Wyszukiwarka-srodkow-ochrony-rosli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2577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2015-03-27T07:12:00Z</dcterms:created>
  <dcterms:modified xsi:type="dcterms:W3CDTF">2016-04-04T06:19:00Z</dcterms:modified>
</cp:coreProperties>
</file>