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200" w:vertAnchor="page" w:horzAnchor="margin" w:tblpXSpec="center" w:tblpY="1058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7"/>
        <w:gridCol w:w="9089"/>
      </w:tblGrid>
      <w:tr w:rsidR="00BF7851" w:rsidTr="00BF7851">
        <w:trPr>
          <w:cantSplit/>
          <w:trHeight w:val="718"/>
        </w:trPr>
        <w:tc>
          <w:tcPr>
            <w:tcW w:w="111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BF7851" w:rsidRDefault="00BF7851">
            <w:pPr>
              <w:spacing w:line="276" w:lineRule="auto"/>
            </w:pPr>
            <w:r>
              <w:rPr>
                <w:noProof/>
              </w:rPr>
              <w:drawing>
                <wp:inline distT="0" distB="0" distL="0" distR="0">
                  <wp:extent cx="409575" cy="895350"/>
                  <wp:effectExtent l="19050" t="0" r="9525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tcBorders>
              <w:top w:val="nil"/>
              <w:left w:val="nil"/>
              <w:bottom w:val="single" w:sz="12" w:space="0" w:color="009E60"/>
              <w:right w:val="nil"/>
            </w:tcBorders>
            <w:vAlign w:val="bottom"/>
            <w:hideMark/>
          </w:tcPr>
          <w:p w:rsidR="00BF7851" w:rsidRDefault="00BF7851">
            <w:pPr>
              <w:pStyle w:val="Nagwek1"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OCHRONY ROŚLIN</w:t>
            </w:r>
            <w:r>
              <w:rPr>
                <w:sz w:val="28"/>
                <w:szCs w:val="28"/>
              </w:rPr>
              <w:br/>
              <w:t>I NASIENNICTWA W RZESZOWIE</w:t>
            </w:r>
          </w:p>
          <w:p w:rsidR="00BF7851" w:rsidRDefault="00BF7851">
            <w:pPr>
              <w:spacing w:line="276" w:lineRule="auto"/>
              <w:ind w:left="-113"/>
            </w:pPr>
            <w:r>
              <w:rPr>
                <w:sz w:val="28"/>
                <w:szCs w:val="28"/>
              </w:rPr>
              <w:t xml:space="preserve"> ODDZIAŁ W RZESZOWIE</w:t>
            </w:r>
          </w:p>
        </w:tc>
      </w:tr>
      <w:tr w:rsidR="00BF7851" w:rsidRPr="004A0A81" w:rsidTr="00BF7851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7851" w:rsidRDefault="00BF7851"/>
        </w:tc>
        <w:tc>
          <w:tcPr>
            <w:tcW w:w="9089" w:type="dxa"/>
            <w:tcBorders>
              <w:top w:val="single" w:sz="12" w:space="0" w:color="009E60"/>
              <w:left w:val="nil"/>
              <w:bottom w:val="nil"/>
              <w:right w:val="nil"/>
            </w:tcBorders>
            <w:vAlign w:val="center"/>
          </w:tcPr>
          <w:p w:rsidR="00BF7851" w:rsidRDefault="00BF7851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ul. Langiewicza 28, 35-101 Rzeszów</w:t>
            </w:r>
          </w:p>
          <w:p w:rsidR="00BF7851" w:rsidRDefault="00BF7851">
            <w:pPr>
              <w:tabs>
                <w:tab w:val="left" w:pos="1260"/>
              </w:tabs>
              <w:spacing w:line="276" w:lineRule="auto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tel./fax (17) 850 03 96, tel. </w:t>
            </w:r>
            <w:r>
              <w:rPr>
                <w:rFonts w:ascii="Arial Narrow" w:hAnsi="Arial Narrow"/>
                <w:sz w:val="20"/>
                <w:szCs w:val="20"/>
                <w:lang w:val="fr-FR"/>
              </w:rPr>
              <w:t>(17) 850 03 97, (17) 850 03 98</w:t>
            </w:r>
          </w:p>
          <w:p w:rsidR="00BF7851" w:rsidRDefault="00BF7851">
            <w:pPr>
              <w:spacing w:line="276" w:lineRule="auto"/>
              <w:rPr>
                <w:rFonts w:ascii="Arial Narrow" w:hAnsi="Arial Narrow"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www.piorin.gov.pl/rzeszow, e-mail: </w:t>
            </w:r>
            <w:hyperlink r:id="rId5" w:history="1">
              <w:r>
                <w:rPr>
                  <w:rStyle w:val="Hipercze"/>
                  <w:rFonts w:ascii="Arial Narrow" w:hAnsi="Arial Narrow"/>
                  <w:sz w:val="20"/>
                  <w:szCs w:val="20"/>
                  <w:lang w:val="pt-BR"/>
                </w:rPr>
                <w:t>o-rzeszow@piorin.gov.pl</w:t>
              </w:r>
            </w:hyperlink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 </w:t>
            </w:r>
          </w:p>
          <w:p w:rsidR="00BF7851" w:rsidRDefault="00BF7851">
            <w:pPr>
              <w:spacing w:line="276" w:lineRule="auto"/>
              <w:rPr>
                <w:lang w:val="pt-BR"/>
              </w:rPr>
            </w:pPr>
          </w:p>
        </w:tc>
      </w:tr>
    </w:tbl>
    <w:p w:rsidR="00215C85" w:rsidRDefault="00215C85" w:rsidP="00215C85">
      <w:pPr>
        <w:tabs>
          <w:tab w:val="left" w:pos="426"/>
        </w:tabs>
        <w:jc w:val="center"/>
        <w:outlineLvl w:val="0"/>
        <w:rPr>
          <w:b/>
        </w:rPr>
      </w:pPr>
      <w:r>
        <w:rPr>
          <w:b/>
        </w:rPr>
        <w:t>K o m u n i k a t  z  d n i a  4 kwietnia 2016 roku</w:t>
      </w:r>
    </w:p>
    <w:p w:rsidR="00215C85" w:rsidRDefault="00215C85" w:rsidP="00215C85">
      <w:pPr>
        <w:tabs>
          <w:tab w:val="left" w:pos="426"/>
        </w:tabs>
        <w:jc w:val="both"/>
        <w:rPr>
          <w:b/>
          <w:sz w:val="8"/>
          <w:szCs w:val="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15C85" w:rsidRDefault="00215C85" w:rsidP="00215C85">
      <w:pPr>
        <w:jc w:val="center"/>
        <w:rPr>
          <w:b/>
          <w:smallCaps/>
        </w:rPr>
      </w:pPr>
      <w:r>
        <w:rPr>
          <w:b/>
          <w:smallCaps/>
        </w:rPr>
        <w:t>o zwalczaniu parcha jabłoni – ogólne zasady zwalczania</w:t>
      </w:r>
    </w:p>
    <w:p w:rsidR="00215C85" w:rsidRDefault="00215C85" w:rsidP="00215C85">
      <w:pPr>
        <w:jc w:val="center"/>
        <w:rPr>
          <w:b/>
          <w:smallCaps/>
          <w:spacing w:val="30"/>
          <w:sz w:val="16"/>
          <w:szCs w:val="16"/>
        </w:rPr>
      </w:pP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b/>
          <w:spacing w:val="30"/>
        </w:rPr>
        <w:tab/>
      </w:r>
      <w:r>
        <w:rPr>
          <w:sz w:val="22"/>
          <w:szCs w:val="22"/>
        </w:rPr>
        <w:t xml:space="preserve">Dużym zagrożeniem dla sadów jabłoniowych jest choroba grzybowa </w:t>
      </w:r>
      <w:r>
        <w:rPr>
          <w:b/>
          <w:sz w:val="22"/>
          <w:szCs w:val="22"/>
        </w:rPr>
        <w:t xml:space="preserve">parch jabłoni </w:t>
      </w:r>
      <w:r>
        <w:rPr>
          <w:i/>
          <w:sz w:val="22"/>
          <w:szCs w:val="22"/>
        </w:rPr>
        <w:t>(Venturia inaequalis)</w:t>
      </w:r>
      <w:r>
        <w:rPr>
          <w:spacing w:val="30"/>
          <w:sz w:val="22"/>
          <w:szCs w:val="22"/>
        </w:rPr>
        <w:t xml:space="preserve">. </w:t>
      </w:r>
      <w:r>
        <w:rPr>
          <w:sz w:val="22"/>
          <w:szCs w:val="22"/>
        </w:rPr>
        <w:t xml:space="preserve">Aby nie dopuścić do porażenia drzew w okresie wczesnowiosennym (od pękania pąków do zielonego pąka kwiatowego) należy stosować przede wszystkim program zapobiegawczy, wykonując opryskiwania przed spodziewanymi opadami, z wykorzystywaniem głównie preparatów powierzchniowych. </w:t>
      </w:r>
    </w:p>
    <w:p w:rsidR="00215C85" w:rsidRDefault="00215C85" w:rsidP="00215C8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Zwykle w początkowej fazie rozwoju liści wystarczająco skuteczne są </w:t>
      </w:r>
      <w:r>
        <w:rPr>
          <w:b/>
          <w:sz w:val="22"/>
          <w:szCs w:val="22"/>
        </w:rPr>
        <w:t>fungicydy miedziowe</w:t>
      </w:r>
      <w:r>
        <w:rPr>
          <w:sz w:val="22"/>
          <w:szCs w:val="22"/>
        </w:rPr>
        <w:t>, które ograniczają jednocześnie zarazę ogniową. Im bliżej okresu największego zagrożenia chorobą (późny zielony pąk, różowy pąk i okres kwitnienia), stosuje się coraz skuteczniejsze fungicydy zapobiegawcze: dodynowe, strobilurynowe, anilinopirymidynowe, antrachinowe, chininowe. Preparaty systemiczne z grupy IBE (inhibitorów biosyntezy egrosteroli) stosować po kwitnieniu.</w:t>
      </w: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Zabiegi po kwitnieniu najlepiej wykonywać według sygnalizacji okresów krytycznych co pozwala na redukcję liczby opryskiwań. Punkty sygnalizacyjne okresów krytycznych parcha jabłoni powinny być umieszczone w sadzie lub w pobliżu sadu. Dalej położony punkt może być tylko pewną pomocą, ale jego wskazania muszą być korygowane i przyjmowane z dużą ostrożnością. </w:t>
      </w:r>
    </w:p>
    <w:p w:rsidR="00215C85" w:rsidRDefault="00215C85" w:rsidP="00215C85">
      <w:pPr>
        <w:jc w:val="both"/>
        <w:rPr>
          <w:sz w:val="22"/>
          <w:szCs w:val="22"/>
        </w:rPr>
      </w:pPr>
    </w:p>
    <w:p w:rsidR="00215C85" w:rsidRDefault="00215C85" w:rsidP="00215C85">
      <w:pPr>
        <w:jc w:val="both"/>
        <w:rPr>
          <w:b/>
        </w:rPr>
      </w:pPr>
      <w:r>
        <w:rPr>
          <w:b/>
        </w:rPr>
        <w:t>W celu podjęcia prawidłowej decyzji dotyczącej wykonania kolejnych zabiegów niezbędne jest posiadanie w każdym gospodarstwie deszczomierza, notowanie kolejnych opadów występujących w sadzie oraz obserwacje przyrostu nowej tkanki.</w:t>
      </w:r>
    </w:p>
    <w:p w:rsidR="00215C85" w:rsidRDefault="00215C85" w:rsidP="00215C85">
      <w:pPr>
        <w:jc w:val="both"/>
        <w:rPr>
          <w:sz w:val="18"/>
          <w:szCs w:val="18"/>
        </w:rPr>
      </w:pPr>
    </w:p>
    <w:p w:rsidR="00215C85" w:rsidRDefault="00215C85" w:rsidP="00215C85">
      <w:pPr>
        <w:jc w:val="both"/>
        <w:rPr>
          <w:sz w:val="8"/>
          <w:szCs w:val="8"/>
        </w:rPr>
      </w:pP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Preparaty kontaktowe</w:t>
      </w:r>
      <w:r>
        <w:rPr>
          <w:sz w:val="22"/>
          <w:szCs w:val="22"/>
        </w:rPr>
        <w:t xml:space="preserve"> działają przeciętnie przez 5-7 dni w okresie wczesnowiosennym, przy silnym przyroście liści i 10-14 dni w okresie późniejszym po kwitnieniu. Opady większe niż 20-</w:t>
      </w:r>
      <w:smartTag w:uri="urn:schemas-microsoft-com:office:smarttags" w:element="metricconverter">
        <w:smartTagPr>
          <w:attr w:name="ProductID" w:val="25 mm"/>
        </w:smartTagPr>
        <w:r>
          <w:rPr>
            <w:sz w:val="22"/>
            <w:szCs w:val="22"/>
          </w:rPr>
          <w:t>25 mm</w:t>
        </w:r>
      </w:smartTag>
      <w:r>
        <w:rPr>
          <w:sz w:val="22"/>
          <w:szCs w:val="22"/>
        </w:rPr>
        <w:t>, a przy niektórych fungicydach 25—30 mm (suma opadów od ostatniego zabiegu), powodują zmycie środka kontaktowego i konieczność wykonania powtórnego zabiegu.</w:t>
      </w:r>
    </w:p>
    <w:p w:rsidR="00215C85" w:rsidRDefault="00215C85" w:rsidP="00215C85">
      <w:pPr>
        <w:jc w:val="both"/>
        <w:rPr>
          <w:b/>
          <w:spacing w:val="30"/>
          <w:sz w:val="18"/>
          <w:szCs w:val="18"/>
        </w:rPr>
      </w:pP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Preparaty systemiczne </w:t>
      </w:r>
      <w:r>
        <w:rPr>
          <w:sz w:val="22"/>
          <w:szCs w:val="22"/>
        </w:rPr>
        <w:t>mają bardzo ograniczone działanie zapobiegawcze nie dłuższe niż 2-4 dni, są natomiast odporne na zmywanie, jeśli wnikną do tkanki roślin (po 2-10 godzinach od zastosowania).</w:t>
      </w:r>
    </w:p>
    <w:p w:rsidR="00215C85" w:rsidRDefault="00215C85" w:rsidP="00215C85">
      <w:pPr>
        <w:jc w:val="both"/>
        <w:rPr>
          <w:sz w:val="18"/>
          <w:szCs w:val="18"/>
        </w:rPr>
      </w:pP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Preparaty z grupy IBE </w:t>
      </w:r>
      <w:r>
        <w:rPr>
          <w:sz w:val="22"/>
          <w:szCs w:val="22"/>
        </w:rPr>
        <w:t>najlepiej działają w temp. powyżej 12° wymagają odpowiedniego czasu do wniknięcia do tkanki, nie mogą być stosowane podczas upalnej i suchej pogody oraz podczas opadów, na mokre liście i tuż przed deszczem.</w:t>
      </w:r>
    </w:p>
    <w:p w:rsidR="00215C85" w:rsidRDefault="00215C85" w:rsidP="00215C85">
      <w:pPr>
        <w:jc w:val="both"/>
        <w:rPr>
          <w:sz w:val="22"/>
          <w:szCs w:val="22"/>
        </w:rPr>
      </w:pP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Preparaty z grupy strobiluryny </w:t>
      </w:r>
      <w:r>
        <w:rPr>
          <w:sz w:val="22"/>
          <w:szCs w:val="22"/>
        </w:rPr>
        <w:t xml:space="preserve"> są skuteczne niezależnie od temperatury. Można stosować na wilgotne liście są trudno zmywalne (</w:t>
      </w:r>
      <w:smartTag w:uri="urn:schemas-microsoft-com:office:smarttags" w:element="metricconverter">
        <w:smartTagPr>
          <w:attr w:name="ProductID" w:val="40 mm"/>
        </w:smartTagPr>
        <w:r>
          <w:rPr>
            <w:sz w:val="22"/>
            <w:szCs w:val="22"/>
          </w:rPr>
          <w:t>40 mm</w:t>
        </w:r>
      </w:smartTag>
      <w:r>
        <w:rPr>
          <w:sz w:val="22"/>
          <w:szCs w:val="22"/>
        </w:rPr>
        <w:t>).</w:t>
      </w:r>
    </w:p>
    <w:p w:rsidR="00215C85" w:rsidRDefault="00215C85" w:rsidP="00215C85">
      <w:pPr>
        <w:jc w:val="both"/>
        <w:rPr>
          <w:sz w:val="18"/>
          <w:szCs w:val="18"/>
        </w:rPr>
      </w:pP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sz w:val="22"/>
          <w:szCs w:val="22"/>
        </w:rPr>
        <w:t>Intensywność ochrony przeciwko parchowi należy uzależnić od podatności odmiany. Aby nie dopuścić do uodpornienia patogenów na preparaty chemiczne należy stosować przemiennie środki ochrony roślin z różnych grup chemicznych.</w:t>
      </w:r>
    </w:p>
    <w:p w:rsidR="00215C85" w:rsidRDefault="00215C85" w:rsidP="00215C85">
      <w:pPr>
        <w:jc w:val="both"/>
        <w:rPr>
          <w:sz w:val="22"/>
          <w:szCs w:val="22"/>
        </w:rPr>
      </w:pPr>
      <w:r>
        <w:rPr>
          <w:sz w:val="22"/>
          <w:szCs w:val="22"/>
        </w:rPr>
        <w:t>Fungicydów z grupy IBE, anilinopirymidyn i strobirulyn nie stosować częściej niż 2 razy</w:t>
      </w:r>
      <w:r>
        <w:rPr>
          <w:sz w:val="22"/>
          <w:szCs w:val="22"/>
        </w:rPr>
        <w:br/>
        <w:t>w sezonie.</w:t>
      </w:r>
    </w:p>
    <w:p w:rsidR="00215C85" w:rsidRDefault="00215C85" w:rsidP="00215C8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Środki ochrony roślin stosować zgodnie z etykietą –instrukcją stosowania zamieszczoną na opakowaniu</w:t>
      </w:r>
    </w:p>
    <w:p w:rsidR="00215C85" w:rsidRDefault="00215C85" w:rsidP="00215C85">
      <w:pPr>
        <w:jc w:val="both"/>
        <w:rPr>
          <w:b/>
          <w:sz w:val="4"/>
          <w:szCs w:val="4"/>
          <w:u w:val="single"/>
        </w:rPr>
      </w:pPr>
    </w:p>
    <w:p w:rsidR="00215C85" w:rsidRDefault="00215C85" w:rsidP="00215C85">
      <w:pPr>
        <w:jc w:val="both"/>
        <w:rPr>
          <w:b/>
          <w:u w:val="single"/>
        </w:rPr>
      </w:pPr>
      <w:r>
        <w:t>Opracowała: M. Błażej</w:t>
      </w:r>
      <w:r>
        <w:tab/>
      </w:r>
      <w:r>
        <w:tab/>
      </w:r>
      <w:r>
        <w:tab/>
      </w:r>
      <w:r>
        <w:tab/>
      </w:r>
      <w:r>
        <w:tab/>
        <w:t>Kierownik Oddziału w Rzeszowie</w:t>
      </w:r>
    </w:p>
    <w:p w:rsidR="009868A3" w:rsidRPr="004A0A81" w:rsidRDefault="00215C85">
      <w:pPr>
        <w:rPr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Krzysztof  Kucia</w:t>
      </w:r>
      <w:bookmarkStart w:id="0" w:name="_GoBack"/>
      <w:bookmarkEnd w:id="0"/>
    </w:p>
    <w:sectPr w:rsidR="009868A3" w:rsidRPr="004A0A81" w:rsidSect="00986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851"/>
    <w:rsid w:val="00215C85"/>
    <w:rsid w:val="004A0A81"/>
    <w:rsid w:val="00683B67"/>
    <w:rsid w:val="009868A3"/>
    <w:rsid w:val="00BF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789BEC9-1634-4450-BE8A-C184E742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7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F7851"/>
    <w:pPr>
      <w:keepNext/>
      <w:jc w:val="both"/>
      <w:outlineLvl w:val="0"/>
    </w:pPr>
    <w:rPr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F7851"/>
    <w:rPr>
      <w:rFonts w:ascii="Times New Roman" w:eastAsia="Times New Roman" w:hAnsi="Times New Roman" w:cs="Times New Roman"/>
      <w:bCs/>
      <w:sz w:val="30"/>
      <w:szCs w:val="3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F7851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78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85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-rzeszow@piorin.gov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tyczyn1</cp:lastModifiedBy>
  <cp:revision>5</cp:revision>
  <dcterms:created xsi:type="dcterms:W3CDTF">2016-04-04T06:13:00Z</dcterms:created>
  <dcterms:modified xsi:type="dcterms:W3CDTF">2016-04-07T12:16:00Z</dcterms:modified>
</cp:coreProperties>
</file>