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1058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9089"/>
      </w:tblGrid>
      <w:tr w:rsidR="00C2691E" w:rsidTr="00C2691E">
        <w:trPr>
          <w:cantSplit/>
          <w:trHeight w:val="718"/>
        </w:trPr>
        <w:tc>
          <w:tcPr>
            <w:tcW w:w="111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2691E" w:rsidRDefault="00C2691E">
            <w:pPr>
              <w:spacing w:line="276" w:lineRule="auto"/>
            </w:pPr>
            <w:r>
              <w:rPr>
                <w:noProof/>
              </w:rPr>
              <w:drawing>
                <wp:inline distT="0" distB="0" distL="0" distR="0">
                  <wp:extent cx="409575" cy="895350"/>
                  <wp:effectExtent l="19050" t="0" r="9525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tcBorders>
              <w:top w:val="nil"/>
              <w:left w:val="nil"/>
              <w:bottom w:val="single" w:sz="12" w:space="0" w:color="009E60"/>
              <w:right w:val="nil"/>
            </w:tcBorders>
            <w:vAlign w:val="bottom"/>
            <w:hideMark/>
          </w:tcPr>
          <w:p w:rsidR="00C2691E" w:rsidRDefault="00C2691E">
            <w:pPr>
              <w:pStyle w:val="Nagwek1"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OCHRONY ROŚLIN</w:t>
            </w:r>
            <w:r>
              <w:rPr>
                <w:sz w:val="28"/>
                <w:szCs w:val="28"/>
              </w:rPr>
              <w:br/>
              <w:t>I NASIENNICTWA W RZESZOWIE</w:t>
            </w:r>
          </w:p>
          <w:p w:rsidR="00C2691E" w:rsidRDefault="00C2691E">
            <w:pPr>
              <w:spacing w:line="276" w:lineRule="auto"/>
              <w:ind w:left="-113"/>
            </w:pPr>
            <w:r>
              <w:rPr>
                <w:sz w:val="28"/>
                <w:szCs w:val="28"/>
              </w:rPr>
              <w:t xml:space="preserve"> ODDZIAŁ W RZESZOWIE</w:t>
            </w:r>
          </w:p>
        </w:tc>
      </w:tr>
      <w:tr w:rsidR="00C2691E" w:rsidRPr="00036DC1" w:rsidTr="00C2691E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691E" w:rsidRDefault="00C2691E"/>
        </w:tc>
        <w:tc>
          <w:tcPr>
            <w:tcW w:w="9089" w:type="dxa"/>
            <w:tcBorders>
              <w:top w:val="single" w:sz="12" w:space="0" w:color="009E60"/>
              <w:left w:val="nil"/>
              <w:bottom w:val="nil"/>
              <w:right w:val="nil"/>
            </w:tcBorders>
            <w:vAlign w:val="center"/>
          </w:tcPr>
          <w:p w:rsidR="00C2691E" w:rsidRDefault="00C2691E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ul. Langiewicza 28, 35-101 Rzeszów</w:t>
            </w:r>
          </w:p>
          <w:p w:rsidR="00C2691E" w:rsidRDefault="00C2691E">
            <w:pPr>
              <w:tabs>
                <w:tab w:val="left" w:pos="1260"/>
              </w:tabs>
              <w:spacing w:line="276" w:lineRule="auto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sz w:val="20"/>
                <w:szCs w:val="20"/>
              </w:rPr>
              <w:t>tel./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fax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(17) 850 03 96, tel. </w:t>
            </w:r>
            <w:r>
              <w:rPr>
                <w:rFonts w:ascii="Arial Narrow" w:hAnsi="Arial Narrow"/>
                <w:sz w:val="20"/>
                <w:szCs w:val="20"/>
                <w:lang w:val="fr-FR"/>
              </w:rPr>
              <w:t>(17) 850 03 97, (17) 850 03 98</w:t>
            </w:r>
          </w:p>
          <w:p w:rsidR="00C2691E" w:rsidRDefault="00C2691E">
            <w:pPr>
              <w:spacing w:line="276" w:lineRule="auto"/>
              <w:rPr>
                <w:rFonts w:ascii="Arial Narrow" w:hAnsi="Arial Narrow"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www.piorin.gov.pl/rzeszow, e-mail: </w:t>
            </w:r>
            <w:r w:rsidR="00325AD2">
              <w:fldChar w:fldCharType="begin"/>
            </w:r>
            <w:r w:rsidR="00325AD2" w:rsidRPr="00036DC1">
              <w:rPr>
                <w:lang w:val="en-US"/>
              </w:rPr>
              <w:instrText>HYPERLINK "mailto:o-rzeszow@piorin.gov.pl"</w:instrText>
            </w:r>
            <w:r w:rsidR="00325AD2">
              <w:fldChar w:fldCharType="separate"/>
            </w:r>
            <w:r>
              <w:rPr>
                <w:rStyle w:val="Hipercze"/>
                <w:rFonts w:ascii="Arial Narrow" w:hAnsi="Arial Narrow"/>
                <w:sz w:val="20"/>
                <w:szCs w:val="20"/>
                <w:lang w:val="pt-BR"/>
              </w:rPr>
              <w:t>o-rzeszow@piorin.gov.pl</w:t>
            </w:r>
            <w:r w:rsidR="00325AD2">
              <w:fldChar w:fldCharType="end"/>
            </w: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 </w:t>
            </w:r>
          </w:p>
          <w:p w:rsidR="00C2691E" w:rsidRDefault="00C2691E">
            <w:pPr>
              <w:spacing w:line="276" w:lineRule="auto"/>
              <w:rPr>
                <w:lang w:val="pt-BR"/>
              </w:rPr>
            </w:pPr>
          </w:p>
        </w:tc>
      </w:tr>
    </w:tbl>
    <w:p w:rsidR="00036DC1" w:rsidRDefault="00036DC1" w:rsidP="00036D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Komunikat z dnia 4 kwietnia 2016roku</w:t>
      </w:r>
    </w:p>
    <w:p w:rsidR="00036DC1" w:rsidRDefault="00036DC1" w:rsidP="00036D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zwalczaniu kwieciaka jabłkowca</w:t>
      </w:r>
    </w:p>
    <w:p w:rsidR="00036DC1" w:rsidRDefault="00036DC1" w:rsidP="00036DC1">
      <w:pPr>
        <w:jc w:val="center"/>
      </w:pPr>
    </w:p>
    <w:p w:rsidR="00036DC1" w:rsidRDefault="00036DC1" w:rsidP="00036DC1">
      <w:pPr>
        <w:jc w:val="center"/>
      </w:pP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Jabłoniom zagraża  kwieciak jabłkowiec.</w:t>
      </w:r>
    </w:p>
    <w:p w:rsidR="00036DC1" w:rsidRDefault="00036DC1" w:rsidP="00036DC1">
      <w:pPr>
        <w:jc w:val="both"/>
        <w:rPr>
          <w:sz w:val="16"/>
          <w:szCs w:val="16"/>
        </w:rPr>
      </w:pP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Chrząszcze opuszczają kryjówki zimowe gdy temperatura przekroczy 8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C. Przy temperaturze około 12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 przelatują na sąsiednie drzewa. Chrząszcze nadgryzają pąki (obserwujemy wówczas wypływanie soku z uszkodzonych pąków („płacz pąków”) i składają w nich jaja. Larwy żerują wewnątrz pąków niszcząc pręciki i słupek.</w:t>
      </w: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Szkodliwość kwieciaka jabłkowca zależy od intensywności kwitnienia jabłoni.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Jeśli pąków jest mało, żerujący chrząszcz może zniszczyć większość z nich. Natomiast w przypadku obfitego kwitnienia kwieciak jedynie przerzedza je. </w:t>
      </w: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Zabiegi zwalczające szkodnika przeprowadza się szczególnie w sadach o słabo zapowiadającym się kwitnieniu i w sadach, gdzie w poprzednim sezonie stwierdzono masowe występowanie szkodnika, po przekroczeniu progu szkodliwości:</w:t>
      </w:r>
    </w:p>
    <w:p w:rsidR="00036DC1" w:rsidRDefault="00036DC1" w:rsidP="00036DC1">
      <w:pPr>
        <w:jc w:val="both"/>
        <w:rPr>
          <w:sz w:val="16"/>
          <w:szCs w:val="16"/>
        </w:rPr>
      </w:pP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Próg szkodliwości dla kwieciaka jabłkowca wynosi:</w:t>
      </w:r>
    </w:p>
    <w:p w:rsidR="00036DC1" w:rsidRDefault="00036DC1" w:rsidP="00036D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 5 do 10 chrząszczy strząśniętych z 35 gałęzi na płachtę entomologiczną wiosną w fazie pękania pąków, </w:t>
      </w:r>
    </w:p>
    <w:p w:rsidR="00036DC1" w:rsidRDefault="00036DC1" w:rsidP="00036D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okresie bezlistnym strząsanie należy przeprowadzać w dzień słoneczny, w południe przy temperaturze powietrza 10-12</w:t>
      </w:r>
      <w:r>
        <w:rPr>
          <w:sz w:val="22"/>
          <w:szCs w:val="22"/>
          <w:vertAlign w:val="superscript"/>
        </w:rPr>
        <w:t>o</w:t>
      </w:r>
      <w:r>
        <w:rPr>
          <w:sz w:val="22"/>
          <w:szCs w:val="22"/>
        </w:rPr>
        <w:t>C</w:t>
      </w:r>
    </w:p>
    <w:p w:rsidR="00036DC1" w:rsidRDefault="00036DC1" w:rsidP="00036DC1">
      <w:pPr>
        <w:ind w:left="720"/>
        <w:jc w:val="both"/>
        <w:rPr>
          <w:sz w:val="16"/>
          <w:szCs w:val="16"/>
        </w:rPr>
      </w:pP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Decyzję o sposobie i terminie zwalczania kwieciaka jabłkowca należy podjąć po przeprowadzeniu obserwacji.</w:t>
      </w:r>
    </w:p>
    <w:p w:rsidR="00036DC1" w:rsidRDefault="00036DC1" w:rsidP="00036DC1">
      <w:pPr>
        <w:jc w:val="both"/>
        <w:rPr>
          <w:sz w:val="22"/>
          <w:szCs w:val="22"/>
        </w:rPr>
      </w:pPr>
    </w:p>
    <w:p w:rsidR="00036DC1" w:rsidRDefault="00036DC1" w:rsidP="00036DC1">
      <w:pPr>
        <w:jc w:val="both"/>
        <w:rPr>
          <w:b/>
          <w:sz w:val="22"/>
          <w:szCs w:val="22"/>
        </w:rPr>
      </w:pPr>
      <w:r>
        <w:rPr>
          <w:b/>
        </w:rPr>
        <w:t>Dostęp do informacji o środkach ochrony roślin dopuszczonych przez Ministra Rolnictwa i Rozwoju Wsi:</w:t>
      </w:r>
    </w:p>
    <w:p w:rsidR="00036DC1" w:rsidRDefault="00036DC1" w:rsidP="00036DC1"/>
    <w:p w:rsidR="00036DC1" w:rsidRDefault="00036DC1" w:rsidP="00036DC1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 xml:space="preserve">Wyszukiwarka dająca możliwość łatwego uzyskania informacji o zalecanych środkach ochrony roślin w danych uprawach, na danego </w:t>
      </w:r>
      <w:proofErr w:type="spellStart"/>
      <w:r>
        <w:t>agrofaga</w:t>
      </w:r>
      <w:proofErr w:type="spellEnd"/>
      <w:r>
        <w:t xml:space="preserve"> - (</w:t>
      </w:r>
      <w:hyperlink r:id="rId6" w:history="1">
        <w:r>
          <w:rPr>
            <w:rStyle w:val="Hipercze"/>
          </w:rPr>
          <w:t>http://www.minrol.gov.pl/pol/Informacje-branzowe/Wyszukiwarka-srodkow-ochrony-roslin</w:t>
        </w:r>
      </w:hyperlink>
      <w:r>
        <w:t xml:space="preserve">), </w:t>
      </w:r>
    </w:p>
    <w:p w:rsidR="00036DC1" w:rsidRDefault="00036DC1" w:rsidP="00036DC1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>Etykiety stosowania środków ochrony roślin dopuszczonych do obrotu i stosowania zezwoleniem Ministra Rolnictwa i Rozwoju Wsi - (</w:t>
      </w:r>
      <w:hyperlink r:id="rId7" w:history="1">
        <w:r>
          <w:rPr>
            <w:rStyle w:val="Hipercze"/>
          </w:rPr>
          <w:t>http://www.bip.minrol.gov.pl/DesktopDefault.aspx?TabOrgId=648&amp;LangId=0</w:t>
        </w:r>
      </w:hyperlink>
      <w:r>
        <w:t>).</w:t>
      </w:r>
    </w:p>
    <w:p w:rsidR="00036DC1" w:rsidRDefault="00036DC1" w:rsidP="00036DC1">
      <w:pPr>
        <w:pStyle w:val="Akapitzlist"/>
        <w:widowControl w:val="0"/>
        <w:tabs>
          <w:tab w:val="left" w:pos="1440"/>
        </w:tabs>
        <w:suppressAutoHyphens/>
        <w:snapToGrid w:val="0"/>
        <w:jc w:val="both"/>
      </w:pPr>
    </w:p>
    <w:p w:rsidR="00036DC1" w:rsidRDefault="00036DC1" w:rsidP="00036DC1">
      <w:pPr>
        <w:jc w:val="both"/>
        <w:rPr>
          <w:sz w:val="22"/>
          <w:szCs w:val="22"/>
        </w:rPr>
      </w:pPr>
      <w:r>
        <w:rPr>
          <w:sz w:val="22"/>
          <w:szCs w:val="22"/>
        </w:rPr>
        <w:t>Uwagi:</w:t>
      </w:r>
    </w:p>
    <w:p w:rsidR="00036DC1" w:rsidRDefault="00036DC1" w:rsidP="00036DC1">
      <w:r>
        <w:t>Zgodnie z ustawą o środkach ochrony roślin:</w:t>
      </w:r>
    </w:p>
    <w:p w:rsidR="00036DC1" w:rsidRDefault="00036DC1" w:rsidP="00036DC1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 xml:space="preserve">Środki ochrony roślin mogą być stosowane jeżeli zostały dopuszczone do obrotu </w:t>
      </w:r>
      <w:r>
        <w:br/>
        <w:t>i stosowania</w:t>
      </w:r>
      <w:bookmarkStart w:id="0" w:name="_GoBack"/>
      <w:bookmarkEnd w:id="0"/>
      <w:r>
        <w:t xml:space="preserve">. </w:t>
      </w:r>
    </w:p>
    <w:p w:rsidR="00036DC1" w:rsidRDefault="00036DC1" w:rsidP="00036DC1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 xml:space="preserve">Środki ochrony roślin należy stosować w taki sposób, aby nie stwarzać zagrożenia dla zdrowia ludzi, zwierząt oraz dla środowiska, w tym przeciwdziałać zniesieniu środków ochrony roślin na obszary i obiekty niebędące celem zabiegu z zastosowaniem tych środków oraz planować stosowanie środków ochrony roślin z </w:t>
      </w:r>
      <w:r>
        <w:lastRenderedPageBreak/>
        <w:t>uwzględnieniem okresu, w którym ludzie będą przebywać na obszarze objętym zabiegiem.</w:t>
      </w:r>
    </w:p>
    <w:p w:rsidR="00036DC1" w:rsidRDefault="00036DC1" w:rsidP="00036DC1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Środki ochrony roślin stosuje się sprzętem sprawnym technicznie.</w:t>
      </w:r>
    </w:p>
    <w:p w:rsidR="00036DC1" w:rsidRDefault="00036DC1" w:rsidP="00036DC1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Zabieg z zastosowaniem środków ochrony roślin przeznaczonych dla użytkowników profesjonalnych może być wykonywany przez osoby przeszkolone, zgodnie z art. 41 w/w ustawy.</w:t>
      </w:r>
    </w:p>
    <w:p w:rsidR="00036DC1" w:rsidRDefault="00036DC1" w:rsidP="00036DC1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Profesjonalni użytkownicy środków ochrony roślin są zobowiązani do prowadzenia dokumentacji dotyczącej stosowanych przez nich środków ochrony roślin i przechowywania jej przez co najmniej 3 lata.</w:t>
      </w:r>
    </w:p>
    <w:p w:rsidR="00036DC1" w:rsidRDefault="00036DC1" w:rsidP="00036DC1"/>
    <w:p w:rsidR="00036DC1" w:rsidRDefault="00036DC1" w:rsidP="00036DC1">
      <w:pPr>
        <w:rPr>
          <w:b/>
        </w:rPr>
      </w:pPr>
    </w:p>
    <w:p w:rsidR="00036DC1" w:rsidRDefault="00036DC1" w:rsidP="00036DC1">
      <w:pPr>
        <w:ind w:left="720"/>
        <w:jc w:val="both"/>
        <w:rPr>
          <w:sz w:val="16"/>
          <w:szCs w:val="16"/>
        </w:rPr>
      </w:pPr>
    </w:p>
    <w:p w:rsidR="00036DC1" w:rsidRDefault="00036DC1" w:rsidP="00036DC1">
      <w:pPr>
        <w:rPr>
          <w:sz w:val="20"/>
          <w:szCs w:val="20"/>
        </w:rPr>
      </w:pPr>
      <w:r>
        <w:rPr>
          <w:sz w:val="20"/>
          <w:szCs w:val="20"/>
        </w:rPr>
        <w:t>Opracowała: M. Błażej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Kierownik Oddziału w Rzeszowie</w:t>
      </w:r>
    </w:p>
    <w:p w:rsidR="00036DC1" w:rsidRDefault="00036DC1" w:rsidP="00036DC1">
      <w:pPr>
        <w:rPr>
          <w:b/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>Krzysztof Kucia</w:t>
      </w:r>
    </w:p>
    <w:p w:rsidR="00036DC1" w:rsidRDefault="00036DC1" w:rsidP="00036DC1">
      <w:pPr>
        <w:jc w:val="center"/>
      </w:pPr>
    </w:p>
    <w:p w:rsidR="00036DC1" w:rsidRDefault="00036DC1" w:rsidP="00036DC1"/>
    <w:p w:rsidR="00B12D77" w:rsidRDefault="00B12D77"/>
    <w:sectPr w:rsidR="00B12D77" w:rsidSect="00B12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5587"/>
    <w:multiLevelType w:val="hybridMultilevel"/>
    <w:tmpl w:val="9ABA6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6047A1"/>
    <w:multiLevelType w:val="hybridMultilevel"/>
    <w:tmpl w:val="49966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2691E"/>
    <w:rsid w:val="00036DC1"/>
    <w:rsid w:val="00325AD2"/>
    <w:rsid w:val="00B12D77"/>
    <w:rsid w:val="00C26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2691E"/>
    <w:pPr>
      <w:keepNext/>
      <w:jc w:val="both"/>
      <w:outlineLvl w:val="0"/>
    </w:pPr>
    <w:rPr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2691E"/>
    <w:rPr>
      <w:rFonts w:ascii="Times New Roman" w:eastAsia="Times New Roman" w:hAnsi="Times New Roman" w:cs="Times New Roman"/>
      <w:bCs/>
      <w:sz w:val="30"/>
      <w:szCs w:val="3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2691E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9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91E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36D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9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minrol.gov.pl/DesktopDefault.aspx?TabOrgId=648&amp;LangI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rol.gov.pl/pol/Informacje-branzowe/Wyszukiwarka-srodkow-ochrony-rosli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2016-04-04T06:12:00Z</dcterms:created>
  <dcterms:modified xsi:type="dcterms:W3CDTF">2016-04-04T06:15:00Z</dcterms:modified>
</cp:coreProperties>
</file>